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8E443" w14:textId="1C4E3ED3" w:rsidR="00B95CDE" w:rsidRDefault="00097ECA" w:rsidP="00B95CDE">
      <w:pPr>
        <w:pStyle w:val="3GPPHeader"/>
        <w:spacing w:after="60"/>
        <w:rPr>
          <w:sz w:val="32"/>
          <w:szCs w:val="32"/>
          <w:highlight w:val="yellow"/>
        </w:rPr>
      </w:pPr>
      <w:bookmarkStart w:id="0" w:name="_Hlk512852793"/>
      <w:r>
        <w:rPr>
          <w:lang w:val="en-US"/>
        </w:rPr>
        <w:t>3GPP TSG-RAN WG2 #10</w:t>
      </w:r>
      <w:r w:rsidR="00F10482">
        <w:rPr>
          <w:lang w:val="en-US"/>
        </w:rPr>
        <w:t>5</w:t>
      </w:r>
      <w:r w:rsidR="00B95CDE">
        <w:tab/>
      </w:r>
      <w:r w:rsidR="00E637F3">
        <w:rPr>
          <w:sz w:val="32"/>
          <w:szCs w:val="32"/>
        </w:rPr>
        <w:t xml:space="preserve"> TDoc </w:t>
      </w:r>
      <w:bookmarkStart w:id="1" w:name="_GoBack"/>
      <w:r w:rsidR="00B50C0F" w:rsidRPr="00B50C0F">
        <w:rPr>
          <w:sz w:val="32"/>
          <w:szCs w:val="32"/>
        </w:rPr>
        <w:t>R2-1901657</w:t>
      </w:r>
      <w:bookmarkEnd w:id="1"/>
    </w:p>
    <w:bookmarkEnd w:id="0"/>
    <w:p w14:paraId="32E9A8D2" w14:textId="77777777" w:rsidR="00B95CDE" w:rsidRDefault="00F10482" w:rsidP="00B95CDE">
      <w:pPr>
        <w:pStyle w:val="CRCoverPage"/>
        <w:outlineLvl w:val="0"/>
        <w:rPr>
          <w:b/>
          <w:noProof/>
          <w:sz w:val="24"/>
        </w:rPr>
      </w:pPr>
      <w:r>
        <w:rPr>
          <w:b/>
          <w:noProof/>
          <w:sz w:val="24"/>
        </w:rPr>
        <w:t>Athens</w:t>
      </w:r>
      <w:r w:rsidR="00EA355A">
        <w:rPr>
          <w:b/>
          <w:noProof/>
          <w:sz w:val="24"/>
        </w:rPr>
        <w:t xml:space="preserve">, </w:t>
      </w:r>
      <w:r>
        <w:rPr>
          <w:b/>
          <w:noProof/>
          <w:sz w:val="24"/>
        </w:rPr>
        <w:t>Greece</w:t>
      </w:r>
      <w:r w:rsidR="00097ECA">
        <w:rPr>
          <w:b/>
          <w:noProof/>
          <w:sz w:val="24"/>
        </w:rPr>
        <w:t xml:space="preserve">, </w:t>
      </w:r>
      <w:r>
        <w:rPr>
          <w:b/>
          <w:noProof/>
          <w:sz w:val="24"/>
        </w:rPr>
        <w:t>25</w:t>
      </w:r>
      <w:r w:rsidR="00EA355A">
        <w:rPr>
          <w:b/>
          <w:noProof/>
          <w:sz w:val="24"/>
          <w:vertAlign w:val="superscript"/>
        </w:rPr>
        <w:t>th</w:t>
      </w:r>
      <w:r w:rsidR="002F3EEB">
        <w:rPr>
          <w:b/>
          <w:noProof/>
          <w:sz w:val="24"/>
        </w:rPr>
        <w:t xml:space="preserve"> </w:t>
      </w:r>
      <w:r>
        <w:rPr>
          <w:b/>
          <w:noProof/>
          <w:sz w:val="24"/>
        </w:rPr>
        <w:t>Feburary</w:t>
      </w:r>
      <w:r w:rsidR="002F3EEB">
        <w:rPr>
          <w:b/>
          <w:noProof/>
          <w:sz w:val="24"/>
        </w:rPr>
        <w:t>– 1</w:t>
      </w:r>
      <w:r w:rsidRPr="00F10482">
        <w:rPr>
          <w:b/>
          <w:noProof/>
          <w:sz w:val="24"/>
          <w:vertAlign w:val="superscript"/>
        </w:rPr>
        <w:t>st</w:t>
      </w:r>
      <w:r>
        <w:rPr>
          <w:b/>
          <w:noProof/>
          <w:sz w:val="24"/>
        </w:rPr>
        <w:t xml:space="preserve"> March</w:t>
      </w:r>
      <w:r w:rsidR="00EA355A">
        <w:rPr>
          <w:b/>
          <w:noProof/>
          <w:sz w:val="24"/>
        </w:rPr>
        <w:t xml:space="preserve"> 201</w:t>
      </w:r>
      <w:r>
        <w:rPr>
          <w:b/>
          <w:noProof/>
          <w:sz w:val="24"/>
        </w:rPr>
        <w:t>9</w:t>
      </w:r>
    </w:p>
    <w:p w14:paraId="48FE48E5" w14:textId="77777777" w:rsidR="00A74E18" w:rsidRPr="0051210E" w:rsidRDefault="00A74E18" w:rsidP="00A74E18">
      <w:pPr>
        <w:pStyle w:val="3GPPHeader"/>
      </w:pPr>
    </w:p>
    <w:p w14:paraId="5E3F5367" w14:textId="215D3C1F" w:rsidR="00A74E18" w:rsidRPr="00934F4C" w:rsidRDefault="00A74E18" w:rsidP="00A74E18">
      <w:pPr>
        <w:pStyle w:val="3GPPHeader"/>
        <w:rPr>
          <w:sz w:val="22"/>
        </w:rPr>
      </w:pPr>
      <w:r w:rsidRPr="00FD3FB3">
        <w:rPr>
          <w:sz w:val="22"/>
          <w:lang w:val="en-US"/>
        </w:rPr>
        <w:t>Agenda Item:</w:t>
      </w:r>
      <w:r w:rsidRPr="00FD3FB3">
        <w:rPr>
          <w:sz w:val="22"/>
          <w:lang w:val="en-US"/>
        </w:rPr>
        <w:tab/>
      </w:r>
      <w:r w:rsidR="00186AFB" w:rsidRPr="00186AFB">
        <w:rPr>
          <w:sz w:val="22"/>
        </w:rPr>
        <w:t>11.4.2.2</w:t>
      </w:r>
    </w:p>
    <w:p w14:paraId="3E6F8AEF" w14:textId="77777777" w:rsidR="00A74E18" w:rsidRPr="00CE0424" w:rsidRDefault="00A74E18" w:rsidP="00A74E18">
      <w:pPr>
        <w:pStyle w:val="3GPPHeader"/>
        <w:rPr>
          <w:sz w:val="22"/>
        </w:rPr>
      </w:pPr>
      <w:r>
        <w:rPr>
          <w:sz w:val="22"/>
        </w:rPr>
        <w:t>Source:</w:t>
      </w:r>
      <w:r w:rsidRPr="00CE0424">
        <w:rPr>
          <w:sz w:val="22"/>
        </w:rPr>
        <w:tab/>
        <w:t>Ericsson</w:t>
      </w:r>
    </w:p>
    <w:p w14:paraId="5831B79B" w14:textId="77777777" w:rsidR="00A74E18" w:rsidRPr="00CE0424" w:rsidRDefault="00A74E18" w:rsidP="00D53C12">
      <w:pPr>
        <w:pStyle w:val="3GPPHeader"/>
        <w:ind w:left="1700" w:hanging="1700"/>
        <w:rPr>
          <w:sz w:val="22"/>
        </w:rPr>
      </w:pPr>
      <w:r>
        <w:rPr>
          <w:sz w:val="22"/>
        </w:rPr>
        <w:t>Title:</w:t>
      </w:r>
      <w:r w:rsidR="00D53C12">
        <w:rPr>
          <w:sz w:val="22"/>
        </w:rPr>
        <w:tab/>
      </w:r>
      <w:r w:rsidRPr="00CE0424">
        <w:rPr>
          <w:sz w:val="22"/>
        </w:rPr>
        <w:tab/>
      </w:r>
      <w:r w:rsidR="00D53C12">
        <w:rPr>
          <w:sz w:val="22"/>
        </w:rPr>
        <w:t>Configuration</w:t>
      </w:r>
      <w:r w:rsidR="00825F21">
        <w:rPr>
          <w:sz w:val="22"/>
        </w:rPr>
        <w:t xml:space="preserve"> of </w:t>
      </w:r>
      <w:r w:rsidR="00E662AE">
        <w:rPr>
          <w:sz w:val="22"/>
        </w:rPr>
        <w:t>Unicast</w:t>
      </w:r>
      <w:r w:rsidR="006D4001">
        <w:rPr>
          <w:sz w:val="22"/>
        </w:rPr>
        <w:t>/Groupcast/Broadcast</w:t>
      </w:r>
      <w:r w:rsidR="00E662AE">
        <w:rPr>
          <w:sz w:val="22"/>
        </w:rPr>
        <w:t xml:space="preserve"> Sidelink V2X </w:t>
      </w:r>
      <w:r w:rsidR="00D53C12">
        <w:rPr>
          <w:sz w:val="22"/>
        </w:rPr>
        <w:t xml:space="preserve">   </w:t>
      </w:r>
      <w:r w:rsidR="00E662AE">
        <w:rPr>
          <w:sz w:val="22"/>
        </w:rPr>
        <w:t>Communications</w:t>
      </w:r>
    </w:p>
    <w:p w14:paraId="065DABC6"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52938513" w14:textId="77777777" w:rsidR="00A74E18" w:rsidRPr="00CE0424" w:rsidRDefault="00A74E18" w:rsidP="00A74E18"/>
    <w:p w14:paraId="006501F3" w14:textId="77777777" w:rsidR="00A74E18" w:rsidRDefault="00A74E18" w:rsidP="00A74E18">
      <w:pPr>
        <w:pStyle w:val="Heading1"/>
      </w:pPr>
      <w:bookmarkStart w:id="2" w:name="_Ref466049030"/>
      <w:bookmarkStart w:id="3" w:name="_Toc528331301"/>
      <w:bookmarkStart w:id="4" w:name="_Toc528331306"/>
      <w:r w:rsidRPr="00CE0424">
        <w:t>Introduction</w:t>
      </w:r>
      <w:bookmarkEnd w:id="2"/>
      <w:bookmarkEnd w:id="3"/>
      <w:bookmarkEnd w:id="4"/>
    </w:p>
    <w:p w14:paraId="3E0864CD" w14:textId="1B818C7F" w:rsidR="005F1724" w:rsidRDefault="00916D9E" w:rsidP="00A74E18">
      <w:pPr>
        <w:pStyle w:val="BodyText"/>
      </w:pPr>
      <w:bookmarkStart w:id="5" w:name="_Ref458784108"/>
      <w:bookmarkStart w:id="6" w:name="_Ref458381469"/>
      <w:r>
        <w:t>The study of the unicast</w:t>
      </w:r>
      <w:r w:rsidR="000D68F4">
        <w:t>, groupcast, broadcast</w:t>
      </w:r>
      <w:r>
        <w:t xml:space="preserve"> sidelink V2X communications is included in the SID</w:t>
      </w:r>
      <w:r w:rsidR="005A5F17">
        <w:t xml:space="preserve"> </w:t>
      </w:r>
      <w:r w:rsidR="005A5F17">
        <w:fldChar w:fldCharType="begin"/>
      </w:r>
      <w:r w:rsidR="005A5F17">
        <w:instrText xml:space="preserve"> REF _Ref521490911 \r \h </w:instrText>
      </w:r>
      <w:r w:rsidR="005A5F17">
        <w:fldChar w:fldCharType="separate"/>
      </w:r>
      <w:r w:rsidR="00026E89">
        <w:t>[1]</w:t>
      </w:r>
      <w:r w:rsidR="005A5F17">
        <w:fldChar w:fldCharType="end"/>
      </w:r>
      <w:r>
        <w:t>. Current LTE D2D communication framework is mainly tailored for broadcast/groupcast communications</w:t>
      </w:r>
      <w:r w:rsidR="005F1724">
        <w:t xml:space="preserve">, therefore the introduction of one-to-one communication may bring to potentially large specification impacts and L1/L2 system design challenges. </w:t>
      </w:r>
    </w:p>
    <w:p w14:paraId="630FD5AD" w14:textId="77777777" w:rsidR="005F1724" w:rsidRDefault="005F1724" w:rsidP="00A74E18">
      <w:pPr>
        <w:pStyle w:val="BodyText"/>
      </w:pPr>
      <w:r>
        <w:t>In this paper, we provide an overview of some of the technical aspects that should be discussed during the study item phase</w:t>
      </w:r>
      <w:r w:rsidR="007F65A1">
        <w:t xml:space="preserve">, mainly focusing on how to differentiate unicast/groupcast/broadcast transmissions in terms of </w:t>
      </w:r>
      <w:r w:rsidR="00D53C12">
        <w:t>configuration provisioning</w:t>
      </w:r>
      <w:r>
        <w:t>.</w:t>
      </w:r>
    </w:p>
    <w:p w14:paraId="718547D4" w14:textId="77777777" w:rsidR="00A74E18" w:rsidRDefault="00A74E18" w:rsidP="00A74E18">
      <w:pPr>
        <w:pStyle w:val="Heading1"/>
      </w:pPr>
      <w:bookmarkStart w:id="7" w:name="_Ref489281230"/>
      <w:bookmarkStart w:id="8" w:name="_Toc528331302"/>
      <w:bookmarkStart w:id="9" w:name="_Toc528331307"/>
      <w:r>
        <w:t>Discussion</w:t>
      </w:r>
      <w:bookmarkEnd w:id="5"/>
      <w:bookmarkEnd w:id="7"/>
      <w:bookmarkEnd w:id="8"/>
      <w:bookmarkEnd w:id="9"/>
    </w:p>
    <w:p w14:paraId="21218521" w14:textId="2FD36613" w:rsidR="00E81D01" w:rsidRDefault="0026684E" w:rsidP="0026684E">
      <w:pPr>
        <w:pStyle w:val="BodyText"/>
      </w:pPr>
      <w:r>
        <w:t xml:space="preserve">Even though one-to-one direct communication is </w:t>
      </w:r>
      <w:r w:rsidR="00F11F6C">
        <w:t>supported</w:t>
      </w:r>
      <w:r>
        <w:t xml:space="preserve"> in Prose, e.g. in the context of relay communications, the impact </w:t>
      </w:r>
      <w:r w:rsidR="00F11F6C">
        <w:t>on</w:t>
      </w:r>
      <w:r>
        <w:t xml:space="preserve"> L1/L2 procedure is </w:t>
      </w:r>
      <w:r w:rsidR="00F11F6C">
        <w:t>minimal. According</w:t>
      </w:r>
      <w:r w:rsidR="003F653B">
        <w:t xml:space="preserve"> to</w:t>
      </w:r>
      <w:r w:rsidR="006E57EE">
        <w:t xml:space="preserve"> </w:t>
      </w:r>
      <w:r w:rsidR="006E57EE">
        <w:fldChar w:fldCharType="begin"/>
      </w:r>
      <w:r w:rsidR="006E57EE">
        <w:instrText xml:space="preserve"> REF _Ref524965321 \r \h </w:instrText>
      </w:r>
      <w:r w:rsidR="006E57EE">
        <w:fldChar w:fldCharType="separate"/>
      </w:r>
      <w:r w:rsidR="00026E89">
        <w:t>[2]</w:t>
      </w:r>
      <w:r w:rsidR="006E57EE">
        <w:fldChar w:fldCharType="end"/>
      </w:r>
      <w:r w:rsidR="006E57EE">
        <w:t xml:space="preserve">, the UE </w:t>
      </w:r>
      <w:r w:rsidR="00E81D01">
        <w:t>can be</w:t>
      </w:r>
      <w:r w:rsidR="006E57EE">
        <w:t xml:space="preserve"> configured</w:t>
      </w:r>
      <w:r w:rsidR="00E81D01">
        <w:t xml:space="preserve"> by upper layers to perform one-to-many (i.e. broadcast or groupcast) communications or one-to-one communications. Depending on the type of communication, a L2 link ID is also provided by higher layers, which is then used in the MAC PDU header. Therefore, apart from this small MAC impact, there are no other L1/L2 procedures which are affected by the selection of a unicast transmission scheme. In fact, for V2X all the RAN procedures have been designed with broadcast use cases in mind.</w:t>
      </w:r>
    </w:p>
    <w:p w14:paraId="1DFD193C" w14:textId="77777777" w:rsidR="00F2007E" w:rsidRDefault="00F2007E" w:rsidP="00F2007E">
      <w:pPr>
        <w:pStyle w:val="Observation"/>
      </w:pPr>
      <w:bookmarkStart w:id="10" w:name="_Toc524990152"/>
      <w:bookmarkStart w:id="11" w:name="_Toc525035398"/>
      <w:bookmarkStart w:id="12" w:name="_Toc525035453"/>
      <w:bookmarkStart w:id="13" w:name="_Toc525035903"/>
      <w:bookmarkStart w:id="14" w:name="_Toc525036008"/>
      <w:bookmarkStart w:id="15" w:name="_Toc525314008"/>
      <w:bookmarkStart w:id="16" w:name="_Toc525829811"/>
      <w:bookmarkStart w:id="17" w:name="_Toc525830066"/>
      <w:bookmarkStart w:id="18" w:name="_Toc525850197"/>
      <w:bookmarkStart w:id="19" w:name="_Toc528331303"/>
      <w:bookmarkStart w:id="20" w:name="_Toc528331308"/>
      <w:bookmarkStart w:id="21" w:name="_Toc528331326"/>
      <w:bookmarkStart w:id="22" w:name="_Toc528331355"/>
      <w:bookmarkStart w:id="23" w:name="_Toc528331400"/>
      <w:bookmarkStart w:id="24" w:name="_Toc528334940"/>
      <w:bookmarkStart w:id="25" w:name="_Toc528875011"/>
      <w:bookmarkStart w:id="26" w:name="_Toc800135"/>
      <w:bookmarkStart w:id="27" w:name="_Toc800312"/>
      <w:bookmarkStart w:id="28" w:name="_Toc800371"/>
      <w:bookmarkStart w:id="29" w:name="_Toc1058239"/>
      <w:r>
        <w:t xml:space="preserve">The legacy LTE sidelink design </w:t>
      </w:r>
      <w:r w:rsidR="00925C6E">
        <w:t xml:space="preserve">only </w:t>
      </w:r>
      <w:r>
        <w:t>targets broadcast V2X use cases.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1BDC8E6" w14:textId="77777777" w:rsidR="00537B50" w:rsidRDefault="00D53C12" w:rsidP="00A74E18">
      <w:r>
        <w:t>To support sidelink unicast/groupcast/broadcast at access stratum, UE has to know whether a V2X packet</w:t>
      </w:r>
      <w:r w:rsidR="00790AC0">
        <w:t xml:space="preserve"> should be transmitted by unicast, groupcast or broadcast as well as the relevant L1/L2 ID(s). In the latest reply LS from SA2 to RAN2, SA2</w:t>
      </w:r>
      <w:r>
        <w:t xml:space="preserve"> </w:t>
      </w:r>
      <w:r w:rsidR="00790AC0">
        <w:t>confirms the following information will be provided from upper layer to access stratum: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37B50" w14:paraId="13F5DC60" w14:textId="77777777" w:rsidTr="00504DB1">
        <w:tc>
          <w:tcPr>
            <w:tcW w:w="9855" w:type="dxa"/>
            <w:shd w:val="clear" w:color="auto" w:fill="auto"/>
          </w:tcPr>
          <w:p w14:paraId="38D0D893" w14:textId="77777777" w:rsidR="00537B50" w:rsidRDefault="00537B50" w:rsidP="00504DB1">
            <w:pPr>
              <w:pStyle w:val="Header"/>
              <w:tabs>
                <w:tab w:val="left" w:pos="720"/>
              </w:tabs>
              <w:spacing w:after="120"/>
            </w:pPr>
            <w:r>
              <w:t>From reply LS from SA2 to RAN2:</w:t>
            </w:r>
          </w:p>
          <w:p w14:paraId="3F116202" w14:textId="77777777" w:rsidR="00537B50" w:rsidRPr="00504DB1" w:rsidRDefault="00537B50" w:rsidP="00504DB1">
            <w:pPr>
              <w:pStyle w:val="Header"/>
              <w:tabs>
                <w:tab w:val="left" w:pos="720"/>
              </w:tabs>
              <w:spacing w:after="120"/>
              <w:rPr>
                <w:rFonts w:eastAsia="DengXian"/>
                <w:b w:val="0"/>
              </w:rPr>
            </w:pPr>
            <w:r w:rsidRPr="007A335A">
              <w:t>Question:</w:t>
            </w:r>
            <w:r>
              <w:t xml:space="preserve"> </w:t>
            </w:r>
            <w:r w:rsidRPr="00504DB1">
              <w:rPr>
                <w:rFonts w:eastAsia="DengXian"/>
              </w:rPr>
              <w:t>RAN2 respectfully asks SA2 to take the above information into account, and provide feedback on whether/how the following can be provided by the upper layers:</w:t>
            </w:r>
          </w:p>
          <w:p w14:paraId="18E9C211" w14:textId="77777777" w:rsidR="00537B50" w:rsidRPr="00504DB1" w:rsidRDefault="00537B50" w:rsidP="00504DB1">
            <w:pPr>
              <w:pStyle w:val="Header"/>
              <w:tabs>
                <w:tab w:val="left" w:pos="720"/>
              </w:tabs>
              <w:spacing w:after="120"/>
              <w:ind w:left="720"/>
              <w:rPr>
                <w:rFonts w:eastAsia="DengXian"/>
                <w:b w:val="0"/>
              </w:rPr>
            </w:pPr>
            <w:r w:rsidRPr="00504DB1">
              <w:rPr>
                <w:rFonts w:eastAsia="DengXian"/>
              </w:rPr>
              <w:t xml:space="preserve">- Information on whether a certain V2X packet should be transmitted by unicast, groupcast or broadcast; </w:t>
            </w:r>
          </w:p>
          <w:p w14:paraId="5AC6C9C3" w14:textId="77777777" w:rsidR="00537B50" w:rsidRPr="00504DB1" w:rsidRDefault="00537B50" w:rsidP="00504DB1">
            <w:pPr>
              <w:pStyle w:val="Header"/>
              <w:tabs>
                <w:tab w:val="left" w:pos="720"/>
              </w:tabs>
              <w:spacing w:after="120"/>
              <w:ind w:left="720"/>
              <w:rPr>
                <w:rFonts w:eastAsia="DengXian"/>
                <w:b w:val="0"/>
              </w:rPr>
            </w:pPr>
            <w:r w:rsidRPr="00504DB1">
              <w:rPr>
                <w:rFonts w:eastAsia="DengXian"/>
              </w:rPr>
              <w:t>- Destination ID for a specific group for groupcast;</w:t>
            </w:r>
          </w:p>
          <w:p w14:paraId="1737118A" w14:textId="77777777" w:rsidR="00537B50" w:rsidRPr="00504DB1" w:rsidRDefault="00537B50" w:rsidP="00504DB1">
            <w:pPr>
              <w:pStyle w:val="Header"/>
              <w:tabs>
                <w:tab w:val="left" w:pos="720"/>
              </w:tabs>
              <w:spacing w:after="120"/>
              <w:ind w:left="720"/>
              <w:rPr>
                <w:rFonts w:eastAsia="DengXian"/>
                <w:b w:val="0"/>
              </w:rPr>
            </w:pPr>
            <w:r w:rsidRPr="00504DB1">
              <w:rPr>
                <w:rFonts w:eastAsia="DengXian"/>
              </w:rPr>
              <w:t>- Destination ID for the target UE for unicast;</w:t>
            </w:r>
          </w:p>
          <w:p w14:paraId="36A88A7D" w14:textId="77777777" w:rsidR="00537B50" w:rsidRDefault="00537B50" w:rsidP="00504DB1">
            <w:pPr>
              <w:pStyle w:val="Header"/>
              <w:tabs>
                <w:tab w:val="left" w:pos="720"/>
              </w:tabs>
              <w:spacing w:after="120"/>
              <w:ind w:left="720"/>
            </w:pPr>
            <w:r w:rsidRPr="00504DB1">
              <w:rPr>
                <w:rFonts w:eastAsia="DengXian"/>
              </w:rPr>
              <w:lastRenderedPageBreak/>
              <w:t>- Source UE ID.</w:t>
            </w:r>
          </w:p>
          <w:p w14:paraId="7AD5AF74" w14:textId="77777777" w:rsidR="00537B50" w:rsidRDefault="00537B50" w:rsidP="00504DB1">
            <w:pPr>
              <w:pStyle w:val="Header"/>
              <w:spacing w:after="120"/>
            </w:pPr>
            <w:r w:rsidRPr="00504DB1">
              <w:rPr>
                <w:u w:val="single"/>
              </w:rPr>
              <w:t>SA2 answer</w:t>
            </w:r>
            <w:r>
              <w:t>: SA2 would like to confirm the following to RAN2:</w:t>
            </w:r>
          </w:p>
          <w:p w14:paraId="72B8F15E" w14:textId="77777777" w:rsidR="00537B50" w:rsidRPr="00504DB1" w:rsidRDefault="00537B50" w:rsidP="00504DB1">
            <w:pPr>
              <w:pStyle w:val="Header"/>
              <w:widowControl/>
              <w:numPr>
                <w:ilvl w:val="0"/>
                <w:numId w:val="44"/>
              </w:numPr>
              <w:overflowPunct/>
              <w:autoSpaceDE/>
              <w:autoSpaceDN/>
              <w:adjustRightInd/>
              <w:spacing w:after="120"/>
              <w:ind w:left="567" w:hanging="167"/>
              <w:textAlignment w:val="auto"/>
              <w:rPr>
                <w:b w:val="0"/>
              </w:rPr>
            </w:pPr>
            <w:r w:rsidRPr="00504DB1">
              <w:rPr>
                <w:b w:val="0"/>
              </w:rPr>
              <w:t>Yes. Information on whether a V2X packet should be transmitted by unicast, groupcast, or broadcast will be indicated by upper layer to AS layer;</w:t>
            </w:r>
          </w:p>
          <w:p w14:paraId="3C10A9A5" w14:textId="77777777" w:rsidR="00537B50" w:rsidRPr="00504DB1" w:rsidRDefault="00537B50" w:rsidP="00504DB1">
            <w:pPr>
              <w:pStyle w:val="Header"/>
              <w:widowControl/>
              <w:numPr>
                <w:ilvl w:val="0"/>
                <w:numId w:val="44"/>
              </w:numPr>
              <w:overflowPunct/>
              <w:autoSpaceDE/>
              <w:autoSpaceDN/>
              <w:adjustRightInd/>
              <w:spacing w:after="120"/>
              <w:ind w:left="567" w:hanging="167"/>
              <w:textAlignment w:val="auto"/>
              <w:rPr>
                <w:b w:val="0"/>
              </w:rPr>
            </w:pPr>
            <w:r w:rsidRPr="00504DB1">
              <w:rPr>
                <w:b w:val="0"/>
              </w:rPr>
              <w:t>Destination ID for a specific group for groupcast will be provided by upper layer to AS layer;</w:t>
            </w:r>
          </w:p>
          <w:p w14:paraId="6648FA94" w14:textId="77777777" w:rsidR="00537B50" w:rsidRPr="00504DB1" w:rsidRDefault="00537B50" w:rsidP="00504DB1">
            <w:pPr>
              <w:pStyle w:val="Header"/>
              <w:widowControl/>
              <w:numPr>
                <w:ilvl w:val="0"/>
                <w:numId w:val="44"/>
              </w:numPr>
              <w:overflowPunct/>
              <w:autoSpaceDE/>
              <w:autoSpaceDN/>
              <w:adjustRightInd/>
              <w:spacing w:after="120"/>
              <w:ind w:left="567" w:hanging="167"/>
              <w:textAlignment w:val="auto"/>
              <w:rPr>
                <w:b w:val="0"/>
              </w:rPr>
            </w:pPr>
            <w:r w:rsidRPr="00504DB1">
              <w:rPr>
                <w:b w:val="0"/>
              </w:rPr>
              <w:t>Destination ID for the target UE for unicast will be provided by upper layer to AS layer;</w:t>
            </w:r>
          </w:p>
          <w:p w14:paraId="18C1DF3A" w14:textId="77777777" w:rsidR="00537B50" w:rsidRPr="00504DB1" w:rsidRDefault="00537B50" w:rsidP="00504DB1">
            <w:pPr>
              <w:pStyle w:val="Header"/>
              <w:widowControl/>
              <w:numPr>
                <w:ilvl w:val="0"/>
                <w:numId w:val="44"/>
              </w:numPr>
              <w:overflowPunct/>
              <w:autoSpaceDE/>
              <w:autoSpaceDN/>
              <w:adjustRightInd/>
              <w:spacing w:after="120"/>
              <w:ind w:left="567" w:hanging="167"/>
              <w:textAlignment w:val="auto"/>
              <w:rPr>
                <w:b w:val="0"/>
              </w:rPr>
            </w:pPr>
            <w:r w:rsidRPr="00504DB1">
              <w:rPr>
                <w:b w:val="0"/>
              </w:rPr>
              <w:t xml:space="preserve">the source UE ID will be provided by upper layer to AS layer. </w:t>
            </w:r>
          </w:p>
          <w:p w14:paraId="609D7748" w14:textId="77777777" w:rsidR="00537B50" w:rsidRPr="00504DB1" w:rsidRDefault="00537B50" w:rsidP="00A74E18">
            <w:pPr>
              <w:rPr>
                <w:lang w:val="en-US"/>
              </w:rPr>
            </w:pPr>
          </w:p>
        </w:tc>
      </w:tr>
    </w:tbl>
    <w:p w14:paraId="5A1412D5" w14:textId="77777777" w:rsidR="00537B50" w:rsidRDefault="00537B50" w:rsidP="00A74E18"/>
    <w:p w14:paraId="4F236BEA" w14:textId="77777777" w:rsidR="00790AC0" w:rsidRDefault="00790AC0" w:rsidP="00790AC0">
      <w:pPr>
        <w:pStyle w:val="Observation"/>
      </w:pPr>
      <w:bookmarkStart w:id="30" w:name="_Ref536611747"/>
      <w:bookmarkStart w:id="31" w:name="_Toc800136"/>
      <w:bookmarkStart w:id="32" w:name="_Toc800313"/>
      <w:bookmarkStart w:id="33" w:name="_Toc800372"/>
      <w:bookmarkStart w:id="34" w:name="_Toc1058240"/>
      <w:r>
        <w:t xml:space="preserve">Upper layer provides the following information to access stratum: </w:t>
      </w:r>
      <w:r>
        <w:rPr>
          <w:rFonts w:eastAsia="DengXian"/>
        </w:rPr>
        <w:t>i</w:t>
      </w:r>
      <w:r w:rsidRPr="00265C4A">
        <w:rPr>
          <w:rFonts w:eastAsia="DengXian"/>
        </w:rPr>
        <w:t>nformation on whether a certain V2X packet should be transmitted by unicast, groupcast or broadcast</w:t>
      </w:r>
      <w:r>
        <w:rPr>
          <w:rFonts w:eastAsia="DengXian"/>
        </w:rPr>
        <w:t>; d</w:t>
      </w:r>
      <w:r w:rsidRPr="00265C4A">
        <w:rPr>
          <w:rFonts w:eastAsia="DengXian"/>
        </w:rPr>
        <w:t>estination ID for a specific group for groupcast;</w:t>
      </w:r>
      <w:r w:rsidRPr="00790AC0">
        <w:rPr>
          <w:rFonts w:eastAsia="DengXian"/>
        </w:rPr>
        <w:t xml:space="preserve"> </w:t>
      </w:r>
      <w:r>
        <w:rPr>
          <w:rFonts w:eastAsia="DengXian"/>
        </w:rPr>
        <w:t>d</w:t>
      </w:r>
      <w:r w:rsidRPr="00265C4A">
        <w:rPr>
          <w:rFonts w:eastAsia="DengXian"/>
        </w:rPr>
        <w:t>estination ID for the target UE for unicast;</w:t>
      </w:r>
      <w:r w:rsidRPr="00790AC0">
        <w:rPr>
          <w:rFonts w:eastAsia="DengXian"/>
        </w:rPr>
        <w:t xml:space="preserve"> </w:t>
      </w:r>
      <w:r>
        <w:rPr>
          <w:rFonts w:eastAsia="DengXian"/>
        </w:rPr>
        <w:t>source UE ID</w:t>
      </w:r>
      <w:r w:rsidRPr="00D703C4">
        <w:rPr>
          <w:rFonts w:eastAsia="DengXian"/>
        </w:rPr>
        <w:t>.</w:t>
      </w:r>
      <w:bookmarkEnd w:id="30"/>
      <w:bookmarkEnd w:id="31"/>
      <w:bookmarkEnd w:id="32"/>
      <w:bookmarkEnd w:id="33"/>
      <w:bookmarkEnd w:id="34"/>
    </w:p>
    <w:p w14:paraId="1CEFD77C" w14:textId="77777777" w:rsidR="00BB2394" w:rsidRDefault="00F44CE9" w:rsidP="00BB2394">
      <w:r>
        <w:t>Whether the selection of unicast/groupcast/broadcast has some impact on the resource allocation procedures is obviously in the scope of RAN1 and RAN2.</w:t>
      </w:r>
    </w:p>
    <w:p w14:paraId="382A83F8" w14:textId="77777777" w:rsidR="00756285" w:rsidRDefault="0002051B" w:rsidP="00BB2394">
      <w:r>
        <w:t>In Prose Communications, the resource allocation is agnostic with respect to the casting scheme used. The same principles could be used also in V2X, especially when the UE is in IDLE mode</w:t>
      </w:r>
      <w:r w:rsidR="004823B9">
        <w:t xml:space="preserve"> or when out of coverage</w:t>
      </w:r>
      <w:r>
        <w:t xml:space="preserve">. In fact, configuring different pools </w:t>
      </w:r>
      <w:r w:rsidR="00756285">
        <w:t>for IDLE</w:t>
      </w:r>
      <w:r w:rsidR="004823B9">
        <w:t xml:space="preserve"> mode or out of coverage</w:t>
      </w:r>
      <w:r w:rsidR="00756285">
        <w:t xml:space="preserve"> operations </w:t>
      </w:r>
      <w:r>
        <w:t xml:space="preserve">depending on the casting scheme </w:t>
      </w:r>
      <w:r w:rsidR="00756285">
        <w:t>does not seem to be reasonable. The network might not be aware of the actual cell load and of the casting scheme in use, therefore this solution would just lead to potentially high and unpredictable resource wastage. On the other hand, we believe that for IDLE mode</w:t>
      </w:r>
      <w:r w:rsidR="004823B9">
        <w:t xml:space="preserve"> or out of coverage</w:t>
      </w:r>
      <w:r w:rsidR="00756285">
        <w:t xml:space="preserve"> operations, the mode-2 resource pool design should allow coexistence of different casting schemes; for example</w:t>
      </w:r>
      <w:r w:rsidR="00CF311E">
        <w:t>,</w:t>
      </w:r>
      <w:r w:rsidR="00756285">
        <w:t xml:space="preserve"> the resource reservation scheme introduced</w:t>
      </w:r>
      <w:r w:rsidR="00CF311E">
        <w:t xml:space="preserve"> in Rel.14 may be already sufficient at least at low load.</w:t>
      </w:r>
    </w:p>
    <w:p w14:paraId="5215855A" w14:textId="77777777" w:rsidR="004823B9" w:rsidRDefault="004823B9" w:rsidP="00E11AFF">
      <w:pPr>
        <w:pStyle w:val="Proposal"/>
      </w:pPr>
      <w:bookmarkStart w:id="35" w:name="_Ref528678782"/>
      <w:bookmarkStart w:id="36" w:name="_Toc528875014"/>
      <w:bookmarkStart w:id="37" w:name="_Toc800363"/>
      <w:bookmarkStart w:id="38" w:name="_Toc800374"/>
      <w:bookmarkStart w:id="39" w:name="_Toc1058242"/>
      <w:r>
        <w:t xml:space="preserve">For in coverage and IDLE mode operations, </w:t>
      </w:r>
      <w:r w:rsidR="00E11AFF">
        <w:t xml:space="preserve">a single </w:t>
      </w:r>
      <w:r>
        <w:t>mode-2 pool is provided by broadcast signalling</w:t>
      </w:r>
      <w:r w:rsidR="00E11AFF">
        <w:t xml:space="preserve"> for all casting schemes</w:t>
      </w:r>
      <w:r>
        <w:t>.</w:t>
      </w:r>
      <w:bookmarkEnd w:id="35"/>
      <w:bookmarkEnd w:id="36"/>
      <w:bookmarkEnd w:id="37"/>
      <w:bookmarkEnd w:id="38"/>
      <w:bookmarkEnd w:id="39"/>
    </w:p>
    <w:p w14:paraId="1EA9B9BF" w14:textId="77777777" w:rsidR="00E11AFF" w:rsidRDefault="00E11AFF" w:rsidP="00E11AFF">
      <w:pPr>
        <w:pStyle w:val="Proposal"/>
      </w:pPr>
      <w:bookmarkStart w:id="40" w:name="_Toc800364"/>
      <w:bookmarkStart w:id="41" w:name="_Toc800375"/>
      <w:bookmarkStart w:id="42" w:name="_Toc1058243"/>
      <w:r>
        <w:t>For out of coverage operations, a single preconfigured mode-2 pool is provided for all casting schemes.</w:t>
      </w:r>
      <w:bookmarkEnd w:id="40"/>
      <w:bookmarkEnd w:id="41"/>
      <w:bookmarkEnd w:id="42"/>
    </w:p>
    <w:p w14:paraId="70478503" w14:textId="77777777" w:rsidR="00957BFC" w:rsidRDefault="00CF311E" w:rsidP="00957BFC">
      <w:r>
        <w:t xml:space="preserve">On the other hand, for CONNECTED mode operations, </w:t>
      </w:r>
      <w:r w:rsidR="00420B66">
        <w:t xml:space="preserve">there is the possibility for the network to provide dedicated </w:t>
      </w:r>
      <w:r w:rsidR="006525D4">
        <w:t xml:space="preserve">pool configurations, either mode-1 and/or mode-2, depending on the casting scheme required by the UE and on the specific V2X service. This would obviously be beneficial for the transmitter which can enjoy less interfered transmissions, and also the receiver which can prioritize the reception of packets on certain resources. </w:t>
      </w:r>
      <w:r w:rsidR="007C7C41">
        <w:br/>
      </w:r>
      <w:r w:rsidR="006525D4">
        <w:t xml:space="preserve">For example, at connection establishment the UE can indicate to the network that it desires dedicated resources for unicast/multicast transmission for a certain V2X service, and in </w:t>
      </w:r>
      <w:r w:rsidR="00F40A91">
        <w:t>case the UE</w:t>
      </w:r>
      <w:r w:rsidR="00B9630E">
        <w:t xml:space="preserve"> is</w:t>
      </w:r>
      <w:r w:rsidR="006F2B55">
        <w:t xml:space="preserve"> authorized to perform the casting scheme, the network may configure a mode1/mode-2 pool and indicate the casting scheme to use.</w:t>
      </w:r>
      <w:r w:rsidR="007C7C41">
        <w:t xml:space="preserve"> </w:t>
      </w:r>
      <w:bookmarkStart w:id="43" w:name="_Toc524990156"/>
      <w:bookmarkStart w:id="44" w:name="_Toc525035401"/>
      <w:bookmarkStart w:id="45" w:name="_Toc525035456"/>
    </w:p>
    <w:p w14:paraId="02C6BFE0" w14:textId="77777777" w:rsidR="006525D4" w:rsidRDefault="00A705EE" w:rsidP="00957BFC">
      <w:pPr>
        <w:pStyle w:val="Proposal"/>
      </w:pPr>
      <w:bookmarkStart w:id="46" w:name="_Toc525035906"/>
      <w:bookmarkStart w:id="47" w:name="_Toc525036011"/>
      <w:bookmarkStart w:id="48" w:name="_Toc525314011"/>
      <w:bookmarkStart w:id="49" w:name="_Toc525829814"/>
      <w:bookmarkStart w:id="50" w:name="_Toc525830069"/>
      <w:bookmarkStart w:id="51" w:name="_Toc525850200"/>
      <w:bookmarkStart w:id="52" w:name="_Toc528331353"/>
      <w:bookmarkStart w:id="53" w:name="_Toc528331358"/>
      <w:bookmarkStart w:id="54" w:name="_Toc528331403"/>
      <w:bookmarkStart w:id="55" w:name="_Toc528334943"/>
      <w:bookmarkStart w:id="56" w:name="_Toc528875016"/>
      <w:bookmarkStart w:id="57" w:name="_Ref536611907"/>
      <w:bookmarkStart w:id="58" w:name="_Ref536611909"/>
      <w:bookmarkStart w:id="59" w:name="_Ref797446"/>
      <w:bookmarkStart w:id="60" w:name="_Toc800365"/>
      <w:bookmarkStart w:id="61" w:name="_Toc800376"/>
      <w:bookmarkStart w:id="62" w:name="_Toc1058244"/>
      <w:r>
        <w:t xml:space="preserve">For CONNECTED mode operations, </w:t>
      </w:r>
      <w:r w:rsidR="006F2B55">
        <w:t>t</w:t>
      </w:r>
      <w:r w:rsidR="00256EDD">
        <w:t>he network can</w:t>
      </w:r>
      <w:r w:rsidR="006F2B55">
        <w:t xml:space="preserve"> configure a mode-1/mode-2 resource pool, </w:t>
      </w:r>
      <w:r w:rsidR="00256EDD">
        <w:t xml:space="preserve">on the basis of UE signalling and </w:t>
      </w:r>
      <w:r w:rsidR="006F2B55">
        <w:t>UE authoriz</w:t>
      </w:r>
      <w:r w:rsidR="00C65863">
        <w:t>ation</w:t>
      </w:r>
      <w:r w:rsidR="006F2B55">
        <w:t xml:space="preserve"> to perform unicast/groupcast/broadcast sidelink V2X communications</w:t>
      </w:r>
      <w:r w:rsidR="00C7791E">
        <w:t xml:space="preserve"> for a certain V2X service</w:t>
      </w:r>
      <w:r w:rsidR="006F2B55">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BBAA8D" w14:textId="4A1AF9E9" w:rsidR="00CC2CF8" w:rsidRDefault="0005701F" w:rsidP="00957BFC">
      <w:r>
        <w:t xml:space="preserve">In the email discussion </w:t>
      </w:r>
      <w:r>
        <w:fldChar w:fldCharType="begin"/>
      </w:r>
      <w:r>
        <w:instrText xml:space="preserve"> REF _Ref797431 \r \h </w:instrText>
      </w:r>
      <w:r>
        <w:fldChar w:fldCharType="separate"/>
      </w:r>
      <w:r w:rsidR="00026E89">
        <w:t>[3]</w:t>
      </w:r>
      <w:r>
        <w:fldChar w:fldCharType="end"/>
      </w:r>
      <w:r>
        <w:t xml:space="preserve">, it was discussed whether the </w:t>
      </w:r>
      <w:r>
        <w:fldChar w:fldCharType="begin"/>
      </w:r>
      <w:r>
        <w:instrText xml:space="preserve"> REF _Ref797446 \r \h </w:instrText>
      </w:r>
      <w:r>
        <w:fldChar w:fldCharType="separate"/>
      </w:r>
      <w:r w:rsidR="00026E89">
        <w:t>Proposal 3</w:t>
      </w:r>
      <w:r>
        <w:fldChar w:fldCharType="end"/>
      </w:r>
      <w:r>
        <w:t xml:space="preserve"> above implies that the gNB </w:t>
      </w:r>
      <w:r w:rsidR="00D94827">
        <w:t xml:space="preserve">when providing the mode-1/mode-2 resource pool </w:t>
      </w:r>
      <w:r>
        <w:t xml:space="preserve">should </w:t>
      </w:r>
      <w:r w:rsidR="00D94827">
        <w:t xml:space="preserve">somehow </w:t>
      </w:r>
      <w:r>
        <w:t xml:space="preserve">know the </w:t>
      </w:r>
      <w:r w:rsidR="00D94827">
        <w:t>identities of the</w:t>
      </w:r>
      <w:r>
        <w:t xml:space="preserve"> UEs involved </w:t>
      </w:r>
      <w:r w:rsidR="00D94827">
        <w:t>in the same</w:t>
      </w:r>
      <w:r>
        <w:t xml:space="preserve"> unicast/groupcast communication</w:t>
      </w:r>
      <w:r w:rsidR="00D94827">
        <w:t>, or the link IDs</w:t>
      </w:r>
      <w:r>
        <w:t xml:space="preserve">. </w:t>
      </w:r>
      <w:r w:rsidR="00316B41">
        <w:t>Taking as an example SL unicast, t</w:t>
      </w:r>
      <w:r w:rsidR="00D94827">
        <w:t>his</w:t>
      </w:r>
      <w:r>
        <w:t xml:space="preserve"> would allow the gNB to provide a mode-1 resource pool which is common for </w:t>
      </w:r>
      <w:r w:rsidR="00316B41">
        <w:t>both</w:t>
      </w:r>
      <w:r>
        <w:t xml:space="preserve"> UEs involved in the </w:t>
      </w:r>
      <w:r w:rsidR="00CD451A">
        <w:t xml:space="preserve">same </w:t>
      </w:r>
      <w:r>
        <w:t xml:space="preserve">SL </w:t>
      </w:r>
      <w:r>
        <w:lastRenderedPageBreak/>
        <w:t xml:space="preserve">unicast communication. However, that would put a requirement also on UE side. </w:t>
      </w:r>
      <w:r w:rsidR="00CC2CF8">
        <w:t>In fact</w:t>
      </w:r>
      <w:r>
        <w:t xml:space="preserve">, </w:t>
      </w:r>
      <w:r w:rsidR="00CC2CF8">
        <w:t xml:space="preserve">whenever mode-1 is supported, </w:t>
      </w:r>
      <w:r>
        <w:t>both UEs should go in connected mode and receive the mode-1 pool</w:t>
      </w:r>
      <w:r w:rsidR="00CC2CF8">
        <w:t xml:space="preserve"> plus the DCI information from the gNB, which is obviously not always feasible, given that the two UEs can be in different coverage status. Instead, we believe that it is much simpler if we just follow LTE rules, i.e. the two UEs get independent mode-1 pool configuration and are scheduled independently by the gNB.</w:t>
      </w:r>
    </w:p>
    <w:p w14:paraId="438AA337" w14:textId="77777777" w:rsidR="00271AFF" w:rsidRDefault="00271AFF" w:rsidP="00957BFC">
      <w:r>
        <w:t>The same reasoning applies also for broadcast and groupcast communication, especially if no platoon header is defined, and also for mode-2 configuration.</w:t>
      </w:r>
    </w:p>
    <w:p w14:paraId="38A4441B" w14:textId="77777777" w:rsidR="00CC2CF8" w:rsidRDefault="00CC2CF8" w:rsidP="00CC2CF8">
      <w:pPr>
        <w:pStyle w:val="Proposal"/>
      </w:pPr>
      <w:bookmarkStart w:id="63" w:name="_Toc800366"/>
      <w:bookmarkStart w:id="64" w:name="_Toc800377"/>
      <w:bookmarkStart w:id="65" w:name="_Toc1058245"/>
      <w:r>
        <w:t>For</w:t>
      </w:r>
      <w:r w:rsidR="00271AFF">
        <w:t xml:space="preserve"> all mode-1 and mode-2 </w:t>
      </w:r>
      <w:r>
        <w:t>SL communication</w:t>
      </w:r>
      <w:r w:rsidR="00D94827">
        <w:t>s</w:t>
      </w:r>
      <w:r w:rsidR="00271AFF">
        <w:t xml:space="preserve"> (at least if no platoon header is defined)</w:t>
      </w:r>
      <w:r w:rsidR="00D94827">
        <w:t>,</w:t>
      </w:r>
      <w:r w:rsidR="00271AFF">
        <w:t xml:space="preserve"> </w:t>
      </w:r>
      <w:r>
        <w:t>each UE involved in the same SL unicast/groupcast/broadcast communication gets the mode-1</w:t>
      </w:r>
      <w:r w:rsidR="00D94827">
        <w:t>/mode-2</w:t>
      </w:r>
      <w:r>
        <w:t xml:space="preserve"> resource pool configuration independently of each other</w:t>
      </w:r>
      <w:r w:rsidR="00271AFF">
        <w:t>.</w:t>
      </w:r>
      <w:bookmarkEnd w:id="63"/>
      <w:bookmarkEnd w:id="64"/>
      <w:bookmarkEnd w:id="65"/>
    </w:p>
    <w:p w14:paraId="10D59275" w14:textId="43ABDBA7" w:rsidR="00957BFC" w:rsidRDefault="00D94827" w:rsidP="00957BFC">
      <w:r>
        <w:t xml:space="preserve">However, that said, we believe </w:t>
      </w:r>
      <w:r w:rsidR="000B0764">
        <w:t xml:space="preserve">it </w:t>
      </w:r>
      <w:r>
        <w:t>is beneficial if the UE when entering connected mode</w:t>
      </w:r>
      <w:r w:rsidR="00C5174B">
        <w:t>,</w:t>
      </w:r>
      <w:r>
        <w:t xml:space="preserve"> </w:t>
      </w:r>
      <w:r w:rsidR="009B4C23">
        <w:t xml:space="preserve">provides some indication related to the unicast/groupcast </w:t>
      </w:r>
      <w:r w:rsidR="00112802">
        <w:t>communication</w:t>
      </w:r>
      <w:r w:rsidR="009B4C23">
        <w:t xml:space="preserve"> for which SL mode-1/mode-2 resources are requested. That would be important since a UE may be involved in multiple SL unicast/groupcast communications, and the gNB may want to provide a different resource pool for </w:t>
      </w:r>
      <w:r w:rsidR="005434C3">
        <w:t xml:space="preserve">the </w:t>
      </w:r>
      <w:r w:rsidR="009B4C23">
        <w:t>different SL communications</w:t>
      </w:r>
      <w:r w:rsidR="005434C3">
        <w:t xml:space="preserve"> in which the UE is currently involved</w:t>
      </w:r>
      <w:r w:rsidR="009B4C23">
        <w:t>.</w:t>
      </w:r>
    </w:p>
    <w:p w14:paraId="6C605364" w14:textId="77777777" w:rsidR="009B4C23" w:rsidRDefault="009B4C23" w:rsidP="009B4C23">
      <w:pPr>
        <w:pStyle w:val="Observation"/>
      </w:pPr>
      <w:bookmarkStart w:id="66" w:name="_Toc800137"/>
      <w:bookmarkStart w:id="67" w:name="_Toc800314"/>
      <w:bookmarkStart w:id="68" w:name="_Toc800373"/>
      <w:bookmarkStart w:id="69" w:name="_Toc1058241"/>
      <w:r>
        <w:t>A UE may be involved in multiple SL unicast/groupcast communications, for which the gNB may want to provide different mode-1/mode-2 pool configuration.</w:t>
      </w:r>
      <w:bookmarkEnd w:id="66"/>
      <w:bookmarkEnd w:id="67"/>
      <w:bookmarkEnd w:id="68"/>
      <w:bookmarkEnd w:id="69"/>
    </w:p>
    <w:p w14:paraId="466C08B5" w14:textId="77777777" w:rsidR="004823B9" w:rsidRDefault="009B4C23" w:rsidP="0051065F">
      <w:pPr>
        <w:pStyle w:val="Proposal"/>
      </w:pPr>
      <w:bookmarkStart w:id="70" w:name="_Toc525035907"/>
      <w:bookmarkStart w:id="71" w:name="_Toc525036012"/>
      <w:bookmarkStart w:id="72" w:name="_Toc525314012"/>
      <w:bookmarkStart w:id="73" w:name="_Toc525829815"/>
      <w:bookmarkStart w:id="74" w:name="_Toc525830070"/>
      <w:bookmarkStart w:id="75" w:name="_Toc525850201"/>
      <w:bookmarkStart w:id="76" w:name="_Toc528331354"/>
      <w:bookmarkStart w:id="77" w:name="_Toc528331359"/>
      <w:bookmarkStart w:id="78" w:name="_Toc528331404"/>
      <w:bookmarkStart w:id="79" w:name="_Toc528334944"/>
      <w:bookmarkStart w:id="80" w:name="_Ref528678861"/>
      <w:bookmarkStart w:id="81" w:name="_Toc528875017"/>
      <w:bookmarkStart w:id="82" w:name="_Ref536611913"/>
      <w:bookmarkStart w:id="83" w:name="_Ref536611915"/>
      <w:bookmarkStart w:id="84" w:name="_Toc800367"/>
      <w:bookmarkStart w:id="85" w:name="_Toc800378"/>
      <w:bookmarkStart w:id="86" w:name="_Toc1058246"/>
      <w:r>
        <w:t>When entering connected mode to request mode-1/mode-2 resource</w:t>
      </w:r>
      <w:r w:rsidR="0029003E">
        <w:t>s</w:t>
      </w:r>
      <w:r>
        <w:t xml:space="preserve">, a UE indicates for which specific SL </w:t>
      </w:r>
      <w:r w:rsidR="00256EDD">
        <w:t>group</w:t>
      </w:r>
      <w:r>
        <w:t>/</w:t>
      </w:r>
      <w:r w:rsidR="00256EDD">
        <w:t>unicas</w:t>
      </w:r>
      <w:r>
        <w:t>t</w:t>
      </w:r>
      <w:r w:rsidR="00256EDD">
        <w:t xml:space="preserve"> </w:t>
      </w:r>
      <w:r>
        <w:t>communication the SL resources are requested.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96D874" w14:textId="77777777" w:rsidR="00A74E18" w:rsidRPr="00CE0424" w:rsidRDefault="00A74E18" w:rsidP="00A74E18">
      <w:pPr>
        <w:pStyle w:val="Heading1"/>
      </w:pPr>
      <w:bookmarkStart w:id="87" w:name="_Toc458380516"/>
      <w:bookmarkStart w:id="88" w:name="_Toc458380524"/>
      <w:bookmarkStart w:id="89" w:name="_Toc528331304"/>
      <w:bookmarkStart w:id="90" w:name="_Toc528331309"/>
      <w:bookmarkEnd w:id="6"/>
      <w:bookmarkEnd w:id="87"/>
      <w:bookmarkEnd w:id="88"/>
      <w:r w:rsidRPr="00CE0424">
        <w:t>Conclusion</w:t>
      </w:r>
      <w:bookmarkEnd w:id="89"/>
      <w:bookmarkEnd w:id="90"/>
    </w:p>
    <w:p w14:paraId="6AFAA5AB" w14:textId="03C4CAB2" w:rsidR="00B809E3" w:rsidRDefault="00B809E3" w:rsidP="00B809E3">
      <w:bookmarkStart w:id="91" w:name="_In-sequence_SDU_delivery"/>
      <w:bookmarkEnd w:id="91"/>
      <w:r>
        <w:t xml:space="preserve">In section </w:t>
      </w:r>
      <w:r>
        <w:fldChar w:fldCharType="begin"/>
      </w:r>
      <w:r>
        <w:instrText xml:space="preserve"> REF _Ref489281230 \r \h </w:instrText>
      </w:r>
      <w:r>
        <w:fldChar w:fldCharType="separate"/>
      </w:r>
      <w:r w:rsidR="00026E89">
        <w:t>2</w:t>
      </w:r>
      <w:r>
        <w:fldChar w:fldCharType="end"/>
      </w:r>
      <w:r>
        <w:t xml:space="preserve"> we made the following observations:</w:t>
      </w:r>
    </w:p>
    <w:p w14:paraId="1AF2051C" w14:textId="77777777" w:rsidR="00026E89" w:rsidRPr="009D0870" w:rsidRDefault="00655A0B">
      <w:pPr>
        <w:pStyle w:val="TOC1"/>
        <w:rPr>
          <w:rFonts w:ascii="Calibri" w:eastAsia="DengXian"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026E89">
        <w:t>Observation 1</w:t>
      </w:r>
      <w:r w:rsidR="00026E89" w:rsidRPr="009D0870">
        <w:rPr>
          <w:rFonts w:ascii="Calibri" w:eastAsia="DengXian" w:hAnsi="Calibri"/>
          <w:b w:val="0"/>
          <w:sz w:val="22"/>
          <w:lang w:eastAsia="sv-SE"/>
        </w:rPr>
        <w:tab/>
      </w:r>
      <w:r w:rsidR="00026E89">
        <w:t>The legacy LTE sidelink design only targets broadcast V2X use cases.</w:t>
      </w:r>
    </w:p>
    <w:p w14:paraId="51BAC7F5" w14:textId="77777777" w:rsidR="00026E89" w:rsidRPr="009D0870" w:rsidRDefault="00026E89">
      <w:pPr>
        <w:pStyle w:val="TOC1"/>
        <w:rPr>
          <w:rFonts w:ascii="Calibri" w:eastAsia="DengXian" w:hAnsi="Calibri"/>
          <w:b w:val="0"/>
          <w:sz w:val="22"/>
          <w:lang w:eastAsia="sv-SE"/>
        </w:rPr>
      </w:pPr>
      <w:r>
        <w:t>Observation 2</w:t>
      </w:r>
      <w:r w:rsidRPr="009D0870">
        <w:rPr>
          <w:rFonts w:ascii="Calibri" w:eastAsia="DengXian" w:hAnsi="Calibri"/>
          <w:b w:val="0"/>
          <w:sz w:val="22"/>
          <w:lang w:eastAsia="sv-SE"/>
        </w:rPr>
        <w:tab/>
      </w:r>
      <w:r>
        <w:t xml:space="preserve">Upper layer provides the following information to access stratum: </w:t>
      </w:r>
      <w:r w:rsidRPr="009E2BEB">
        <w:rPr>
          <w:rFonts w:eastAsia="DengXian"/>
        </w:rPr>
        <w:t>information on whether a certain V2X packet should be transmitted by unicast, groupcast or broadcast; destination ID for a specific group for groupcast; destination ID for the target UE for unicast; source UE ID.</w:t>
      </w:r>
    </w:p>
    <w:p w14:paraId="0595E91C" w14:textId="77777777" w:rsidR="00026E89" w:rsidRPr="009D0870" w:rsidRDefault="00026E89">
      <w:pPr>
        <w:pStyle w:val="TOC1"/>
        <w:rPr>
          <w:rFonts w:ascii="Calibri" w:eastAsia="DengXian" w:hAnsi="Calibri"/>
          <w:b w:val="0"/>
          <w:sz w:val="22"/>
          <w:lang w:eastAsia="sv-SE"/>
        </w:rPr>
      </w:pPr>
      <w:r>
        <w:t>Observation 3</w:t>
      </w:r>
      <w:r w:rsidRPr="009D0870">
        <w:rPr>
          <w:rFonts w:ascii="Calibri" w:eastAsia="DengXian" w:hAnsi="Calibri"/>
          <w:b w:val="0"/>
          <w:sz w:val="22"/>
          <w:lang w:eastAsia="sv-SE"/>
        </w:rPr>
        <w:tab/>
      </w:r>
      <w:r>
        <w:t>A UE may be involved in multiple SL unicast/groupcast communications, for which the gNB may want to provide different mode-1/mode-2 pool configuration.</w:t>
      </w:r>
    </w:p>
    <w:p w14:paraId="5690F607" w14:textId="0324197A" w:rsidR="00B809E3" w:rsidRDefault="00655A0B" w:rsidP="00B809E3">
      <w:pPr>
        <w:pStyle w:val="BodyText"/>
        <w:rPr>
          <w:b/>
          <w:bCs/>
          <w:highlight w:val="yellow"/>
        </w:rPr>
      </w:pPr>
      <w:r>
        <w:rPr>
          <w:b/>
          <w:bCs/>
          <w:noProof/>
          <w:lang w:val="en-US"/>
        </w:rPr>
        <w:fldChar w:fldCharType="end"/>
      </w:r>
    </w:p>
    <w:p w14:paraId="123B4D87" w14:textId="58A3D81D" w:rsidR="00B809E3" w:rsidRDefault="00B809E3" w:rsidP="00B809E3">
      <w:r>
        <w:t xml:space="preserve">Based on the discussion in section </w:t>
      </w:r>
      <w:r>
        <w:fldChar w:fldCharType="begin"/>
      </w:r>
      <w:r>
        <w:instrText xml:space="preserve"> REF _Ref489281230 \r \h </w:instrText>
      </w:r>
      <w:r>
        <w:fldChar w:fldCharType="separate"/>
      </w:r>
      <w:r w:rsidR="00026E89">
        <w:t>2</w:t>
      </w:r>
      <w:r>
        <w:fldChar w:fldCharType="end"/>
      </w:r>
      <w:r>
        <w:t xml:space="preserve"> we propose the following:</w:t>
      </w:r>
    </w:p>
    <w:p w14:paraId="78DD0006" w14:textId="77777777" w:rsidR="00026E89" w:rsidRPr="009D0870" w:rsidRDefault="00266E31">
      <w:pPr>
        <w:pStyle w:val="TOC1"/>
        <w:rPr>
          <w:rFonts w:ascii="Calibri" w:eastAsia="DengXian" w:hAnsi="Calibri"/>
          <w:b w:val="0"/>
          <w:sz w:val="22"/>
          <w:lang w:eastAsia="sv-SE"/>
        </w:rPr>
      </w:pPr>
      <w:r>
        <w:rPr>
          <w:bCs/>
        </w:rPr>
        <w:lastRenderedPageBreak/>
        <w:fldChar w:fldCharType="begin"/>
      </w:r>
      <w:r>
        <w:rPr>
          <w:bCs/>
        </w:rPr>
        <w:instrText xml:space="preserve"> TOC \n \p " " \t "Proposal;1" </w:instrText>
      </w:r>
      <w:r>
        <w:rPr>
          <w:bCs/>
        </w:rPr>
        <w:fldChar w:fldCharType="separate"/>
      </w:r>
      <w:r w:rsidR="00026E89">
        <w:t>Proposal 1</w:t>
      </w:r>
      <w:r w:rsidR="00026E89" w:rsidRPr="009D0870">
        <w:rPr>
          <w:rFonts w:ascii="Calibri" w:eastAsia="DengXian" w:hAnsi="Calibri"/>
          <w:b w:val="0"/>
          <w:sz w:val="22"/>
          <w:lang w:eastAsia="sv-SE"/>
        </w:rPr>
        <w:tab/>
      </w:r>
      <w:r w:rsidR="00026E89">
        <w:t>For in coverage and IDLE mode operations, a single mode-2 pool is provided by broadcast signalling for all casting schemes.</w:t>
      </w:r>
    </w:p>
    <w:p w14:paraId="5156E15C" w14:textId="77777777" w:rsidR="00026E89" w:rsidRPr="009D0870" w:rsidRDefault="00026E89">
      <w:pPr>
        <w:pStyle w:val="TOC1"/>
        <w:rPr>
          <w:rFonts w:ascii="Calibri" w:eastAsia="DengXian" w:hAnsi="Calibri"/>
          <w:b w:val="0"/>
          <w:sz w:val="22"/>
          <w:lang w:eastAsia="sv-SE"/>
        </w:rPr>
      </w:pPr>
      <w:r>
        <w:t>Proposal 2</w:t>
      </w:r>
      <w:r w:rsidRPr="009D0870">
        <w:rPr>
          <w:rFonts w:ascii="Calibri" w:eastAsia="DengXian" w:hAnsi="Calibri"/>
          <w:b w:val="0"/>
          <w:sz w:val="22"/>
          <w:lang w:eastAsia="sv-SE"/>
        </w:rPr>
        <w:tab/>
      </w:r>
      <w:r>
        <w:t>For out of coverage operations, a single preconfigured mode-2 pool is provided for all casting schemes.</w:t>
      </w:r>
    </w:p>
    <w:p w14:paraId="0D1077F1" w14:textId="77777777" w:rsidR="00026E89" w:rsidRPr="009D0870" w:rsidRDefault="00026E89">
      <w:pPr>
        <w:pStyle w:val="TOC1"/>
        <w:rPr>
          <w:rFonts w:ascii="Calibri" w:eastAsia="DengXian" w:hAnsi="Calibri"/>
          <w:b w:val="0"/>
          <w:sz w:val="22"/>
          <w:lang w:eastAsia="sv-SE"/>
        </w:rPr>
      </w:pPr>
      <w:r>
        <w:t>Proposal 3</w:t>
      </w:r>
      <w:r w:rsidRPr="009D0870">
        <w:rPr>
          <w:rFonts w:ascii="Calibri" w:eastAsia="DengXian" w:hAnsi="Calibri"/>
          <w:b w:val="0"/>
          <w:sz w:val="22"/>
          <w:lang w:eastAsia="sv-SE"/>
        </w:rPr>
        <w:tab/>
      </w:r>
      <w:r>
        <w:t>For CONNECTED mode operations, the network can configure a mode-1/mode-2 resource pool, on the basis of UE signalling and UE authorization to perform unicast/groupcast/broadcast sidelink V2X communications for a certain V2X service.</w:t>
      </w:r>
    </w:p>
    <w:p w14:paraId="4BD61325" w14:textId="77777777" w:rsidR="00026E89" w:rsidRPr="009D0870" w:rsidRDefault="00026E89">
      <w:pPr>
        <w:pStyle w:val="TOC1"/>
        <w:rPr>
          <w:rFonts w:ascii="Calibri" w:eastAsia="DengXian" w:hAnsi="Calibri"/>
          <w:b w:val="0"/>
          <w:sz w:val="22"/>
          <w:lang w:eastAsia="sv-SE"/>
        </w:rPr>
      </w:pPr>
      <w:r>
        <w:t>Proposal 4</w:t>
      </w:r>
      <w:r w:rsidRPr="009D0870">
        <w:rPr>
          <w:rFonts w:ascii="Calibri" w:eastAsia="DengXian" w:hAnsi="Calibri"/>
          <w:b w:val="0"/>
          <w:sz w:val="22"/>
          <w:lang w:eastAsia="sv-SE"/>
        </w:rPr>
        <w:tab/>
      </w:r>
      <w:r>
        <w:t>For all mode-1 and mode-2 SL communications (at least if no platoon header is defined), each UE involved in the same SL unicast/groupcast/broadcast communication gets the mode-1/mode-2 resource pool configuration independently of each other.</w:t>
      </w:r>
    </w:p>
    <w:p w14:paraId="6EA94DED" w14:textId="77777777" w:rsidR="00026E89" w:rsidRPr="009D0870" w:rsidRDefault="00026E89">
      <w:pPr>
        <w:pStyle w:val="TOC1"/>
        <w:rPr>
          <w:rFonts w:ascii="Calibri" w:eastAsia="DengXian" w:hAnsi="Calibri"/>
          <w:b w:val="0"/>
          <w:sz w:val="22"/>
          <w:lang w:eastAsia="sv-SE"/>
        </w:rPr>
      </w:pPr>
      <w:r>
        <w:t>Proposal 5</w:t>
      </w:r>
      <w:r w:rsidRPr="009D0870">
        <w:rPr>
          <w:rFonts w:ascii="Calibri" w:eastAsia="DengXian" w:hAnsi="Calibri"/>
          <w:b w:val="0"/>
          <w:sz w:val="22"/>
          <w:lang w:eastAsia="sv-SE"/>
        </w:rPr>
        <w:tab/>
      </w:r>
      <w:r>
        <w:t>When entering connected mode to request mode-1/mode-2 resources, a UE indicates for which specific SL group/unicast communication the SL resources are requested.</w:t>
      </w:r>
    </w:p>
    <w:p w14:paraId="61F9E8A8" w14:textId="5E3D8325" w:rsidR="00266E31" w:rsidRDefault="00266E31" w:rsidP="00266E31">
      <w:r>
        <w:rPr>
          <w:bCs/>
          <w:noProof/>
          <w:lang w:val="en-US"/>
        </w:rPr>
        <w:fldChar w:fldCharType="end"/>
      </w:r>
    </w:p>
    <w:p w14:paraId="4B5F7010" w14:textId="77777777" w:rsidR="00A74E18" w:rsidRPr="00CE0424" w:rsidRDefault="00A74E18" w:rsidP="00B809E3">
      <w:pPr>
        <w:pStyle w:val="Heading1"/>
      </w:pPr>
      <w:bookmarkStart w:id="92" w:name="_Toc528331305"/>
      <w:bookmarkStart w:id="93" w:name="_Toc528331310"/>
      <w:r w:rsidRPr="00CE0424">
        <w:t>References</w:t>
      </w:r>
      <w:bookmarkEnd w:id="92"/>
      <w:bookmarkEnd w:id="93"/>
    </w:p>
    <w:p w14:paraId="275AF965" w14:textId="77777777" w:rsidR="002977EB" w:rsidRDefault="005F1724" w:rsidP="00C07313">
      <w:pPr>
        <w:pStyle w:val="Reference"/>
        <w:rPr>
          <w:rFonts w:cs="Arial"/>
          <w:color w:val="000000"/>
          <w:kern w:val="2"/>
          <w:lang w:val="en-US"/>
        </w:rPr>
      </w:pPr>
      <w:bookmarkStart w:id="94" w:name="_Ref521490911"/>
      <w:r w:rsidRPr="005F1724">
        <w:rPr>
          <w:rFonts w:cs="Arial"/>
          <w:color w:val="000000"/>
          <w:kern w:val="2"/>
          <w:lang w:val="en-US"/>
        </w:rPr>
        <w:t>RP-181429, Study on NR V2X, 3GPP TSG RAN Meeting #80, La Jolla, USA, June 11th -14th, 2018</w:t>
      </w:r>
      <w:bookmarkEnd w:id="94"/>
    </w:p>
    <w:p w14:paraId="681E5A86" w14:textId="77777777" w:rsidR="006323DC" w:rsidRDefault="003F653B" w:rsidP="004963E7">
      <w:pPr>
        <w:pStyle w:val="Reference"/>
        <w:rPr>
          <w:rFonts w:cs="Arial"/>
          <w:color w:val="000000"/>
          <w:kern w:val="2"/>
          <w:lang w:val="en-US"/>
        </w:rPr>
      </w:pPr>
      <w:bookmarkStart w:id="95" w:name="_Ref524965321"/>
      <w:r w:rsidRPr="003F653B">
        <w:rPr>
          <w:rFonts w:cs="Arial"/>
          <w:color w:val="000000"/>
          <w:kern w:val="2"/>
          <w:lang w:val="en-US"/>
        </w:rPr>
        <w:t>TS 23.303, Proximity-based services (ProSe)</w:t>
      </w:r>
      <w:bookmarkEnd w:id="95"/>
    </w:p>
    <w:p w14:paraId="6F83C7C7" w14:textId="77777777" w:rsidR="0005701F" w:rsidRPr="004963E7" w:rsidRDefault="0005701F" w:rsidP="004963E7">
      <w:pPr>
        <w:pStyle w:val="Reference"/>
        <w:rPr>
          <w:rFonts w:cs="Arial"/>
          <w:color w:val="000000"/>
          <w:kern w:val="2"/>
          <w:lang w:val="en-US"/>
        </w:rPr>
      </w:pPr>
      <w:bookmarkStart w:id="96" w:name="_Ref797431"/>
      <w:r>
        <w:rPr>
          <w:rFonts w:cs="Arial"/>
          <w:color w:val="000000"/>
          <w:kern w:val="2"/>
          <w:lang w:val="en-US"/>
        </w:rPr>
        <w:t xml:space="preserve">R2-19xxxxx, </w:t>
      </w:r>
      <w:r w:rsidRPr="0005701F">
        <w:rPr>
          <w:rFonts w:cs="Arial"/>
          <w:color w:val="000000"/>
          <w:kern w:val="2"/>
          <w:lang w:val="en-US"/>
        </w:rPr>
        <w:t>Report of [104#59][NR/V2X] Resource allocation (LG)</w:t>
      </w:r>
      <w:bookmarkEnd w:id="96"/>
    </w:p>
    <w:sectPr w:rsidR="0005701F" w:rsidRPr="004963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7B6B" w14:textId="77777777" w:rsidR="009D0870" w:rsidRDefault="009D0870">
      <w:r>
        <w:separator/>
      </w:r>
    </w:p>
  </w:endnote>
  <w:endnote w:type="continuationSeparator" w:id="0">
    <w:p w14:paraId="41178064" w14:textId="77777777" w:rsidR="009D0870" w:rsidRDefault="009D0870">
      <w:r>
        <w:continuationSeparator/>
      </w:r>
    </w:p>
  </w:endnote>
  <w:endnote w:type="continuationNotice" w:id="1">
    <w:p w14:paraId="0CD5EB0D" w14:textId="77777777" w:rsidR="009D0870" w:rsidRDefault="009D0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9B13"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F828C" w14:textId="77777777" w:rsidR="009D0870" w:rsidRDefault="009D0870">
      <w:r>
        <w:separator/>
      </w:r>
    </w:p>
  </w:footnote>
  <w:footnote w:type="continuationSeparator" w:id="0">
    <w:p w14:paraId="58DE9785" w14:textId="77777777" w:rsidR="009D0870" w:rsidRDefault="009D0870">
      <w:r>
        <w:continuationSeparator/>
      </w:r>
    </w:p>
  </w:footnote>
  <w:footnote w:type="continuationNotice" w:id="1">
    <w:p w14:paraId="1D5D53FE" w14:textId="77777777" w:rsidR="009D0870" w:rsidRDefault="009D0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8DCD"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2606C"/>
    <w:multiLevelType w:val="hybridMultilevel"/>
    <w:tmpl w:val="BB5A05FC"/>
    <w:lvl w:ilvl="0" w:tplc="10AA98D8">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6"/>
  </w:num>
  <w:num w:numId="3">
    <w:abstractNumId w:val="17"/>
  </w:num>
  <w:num w:numId="4">
    <w:abstractNumId w:val="18"/>
  </w:num>
  <w:num w:numId="5">
    <w:abstractNumId w:val="15"/>
  </w:num>
  <w:num w:numId="6">
    <w:abstractNumId w:val="22"/>
  </w:num>
  <w:num w:numId="7">
    <w:abstractNumId w:val="31"/>
  </w:num>
  <w:num w:numId="8">
    <w:abstractNumId w:val="16"/>
  </w:num>
  <w:num w:numId="9">
    <w:abstractNumId w:val="28"/>
  </w:num>
  <w:num w:numId="10">
    <w:abstractNumId w:val="37"/>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0"/>
  </w:num>
  <w:num w:numId="17">
    <w:abstractNumId w:val="14"/>
  </w:num>
  <w:num w:numId="18">
    <w:abstractNumId w:val="29"/>
  </w:num>
  <w:num w:numId="19">
    <w:abstractNumId w:val="2"/>
  </w:num>
  <w:num w:numId="20">
    <w:abstractNumId w:val="1"/>
  </w:num>
  <w:num w:numId="21">
    <w:abstractNumId w:val="0"/>
  </w:num>
  <w:num w:numId="22">
    <w:abstractNumId w:val="35"/>
  </w:num>
  <w:num w:numId="23">
    <w:abstractNumId w:val="24"/>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9"/>
  </w:num>
  <w:num w:numId="30">
    <w:abstractNumId w:val="25"/>
  </w:num>
  <w:num w:numId="31">
    <w:abstractNumId w:val="38"/>
  </w:num>
  <w:num w:numId="32">
    <w:abstractNumId w:val="8"/>
  </w:num>
  <w:num w:numId="33">
    <w:abstractNumId w:val="13"/>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7"/>
  </w:num>
  <w:num w:numId="37">
    <w:abstractNumId w:val="3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9"/>
  </w:num>
  <w:num w:numId="41">
    <w:abstractNumId w:val="36"/>
  </w:num>
  <w:num w:numId="42">
    <w:abstractNumId w:val="12"/>
  </w:num>
  <w:num w:numId="43">
    <w:abstractNumId w:val="27"/>
  </w:num>
  <w:num w:numId="4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2A37"/>
    <w:rsid w:val="00003102"/>
    <w:rsid w:val="000036D9"/>
    <w:rsid w:val="00003837"/>
    <w:rsid w:val="00003C0E"/>
    <w:rsid w:val="00006394"/>
    <w:rsid w:val="00006446"/>
    <w:rsid w:val="00006896"/>
    <w:rsid w:val="00006B58"/>
    <w:rsid w:val="000074E4"/>
    <w:rsid w:val="00007CDC"/>
    <w:rsid w:val="000102A0"/>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89"/>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A07"/>
    <w:rsid w:val="0005300B"/>
    <w:rsid w:val="000534E3"/>
    <w:rsid w:val="000538F4"/>
    <w:rsid w:val="0005506B"/>
    <w:rsid w:val="00055EF5"/>
    <w:rsid w:val="0005606A"/>
    <w:rsid w:val="0005667C"/>
    <w:rsid w:val="0005701F"/>
    <w:rsid w:val="00057117"/>
    <w:rsid w:val="000577EB"/>
    <w:rsid w:val="000616E7"/>
    <w:rsid w:val="00061DE7"/>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7497"/>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97ECA"/>
    <w:rsid w:val="000A0585"/>
    <w:rsid w:val="000A1B7B"/>
    <w:rsid w:val="000A29B0"/>
    <w:rsid w:val="000A5326"/>
    <w:rsid w:val="000A56F2"/>
    <w:rsid w:val="000A6636"/>
    <w:rsid w:val="000B00EC"/>
    <w:rsid w:val="000B0764"/>
    <w:rsid w:val="000B18B4"/>
    <w:rsid w:val="000B204A"/>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4BC7"/>
    <w:rsid w:val="000C5913"/>
    <w:rsid w:val="000C5C66"/>
    <w:rsid w:val="000C6072"/>
    <w:rsid w:val="000C6405"/>
    <w:rsid w:val="000C73C6"/>
    <w:rsid w:val="000D0B9D"/>
    <w:rsid w:val="000D0D07"/>
    <w:rsid w:val="000D283B"/>
    <w:rsid w:val="000D2E5E"/>
    <w:rsid w:val="000D3BC9"/>
    <w:rsid w:val="000D4797"/>
    <w:rsid w:val="000D59DE"/>
    <w:rsid w:val="000D68F4"/>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13A3"/>
    <w:rsid w:val="00111E31"/>
    <w:rsid w:val="00112355"/>
    <w:rsid w:val="0011264B"/>
    <w:rsid w:val="00112802"/>
    <w:rsid w:val="00113CF4"/>
    <w:rsid w:val="001143D8"/>
    <w:rsid w:val="00114C6B"/>
    <w:rsid w:val="001153EA"/>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97E"/>
    <w:rsid w:val="00144173"/>
    <w:rsid w:val="00144373"/>
    <w:rsid w:val="0014454B"/>
    <w:rsid w:val="00144AC4"/>
    <w:rsid w:val="00145B58"/>
    <w:rsid w:val="001500DB"/>
    <w:rsid w:val="00150823"/>
    <w:rsid w:val="00151474"/>
    <w:rsid w:val="00151E23"/>
    <w:rsid w:val="00152343"/>
    <w:rsid w:val="00152493"/>
    <w:rsid w:val="001526DC"/>
    <w:rsid w:val="001526E0"/>
    <w:rsid w:val="001551B5"/>
    <w:rsid w:val="00156163"/>
    <w:rsid w:val="0015718C"/>
    <w:rsid w:val="00157F8C"/>
    <w:rsid w:val="001616A5"/>
    <w:rsid w:val="001617C8"/>
    <w:rsid w:val="001629D8"/>
    <w:rsid w:val="00163A5F"/>
    <w:rsid w:val="001643A8"/>
    <w:rsid w:val="0016460E"/>
    <w:rsid w:val="00164A60"/>
    <w:rsid w:val="0016586C"/>
    <w:rsid w:val="001659C1"/>
    <w:rsid w:val="0016650C"/>
    <w:rsid w:val="001665E0"/>
    <w:rsid w:val="00166E29"/>
    <w:rsid w:val="00167CA0"/>
    <w:rsid w:val="00171D71"/>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6AFB"/>
    <w:rsid w:val="00186BDB"/>
    <w:rsid w:val="00187254"/>
    <w:rsid w:val="0018782C"/>
    <w:rsid w:val="001900E2"/>
    <w:rsid w:val="00190AC1"/>
    <w:rsid w:val="00191241"/>
    <w:rsid w:val="00191B98"/>
    <w:rsid w:val="00192A6A"/>
    <w:rsid w:val="00192B48"/>
    <w:rsid w:val="0019341A"/>
    <w:rsid w:val="001936BF"/>
    <w:rsid w:val="0019402C"/>
    <w:rsid w:val="00194272"/>
    <w:rsid w:val="001942F6"/>
    <w:rsid w:val="00194D41"/>
    <w:rsid w:val="00195794"/>
    <w:rsid w:val="00197DF9"/>
    <w:rsid w:val="001A1138"/>
    <w:rsid w:val="001A1860"/>
    <w:rsid w:val="001A1987"/>
    <w:rsid w:val="001A2564"/>
    <w:rsid w:val="001A291A"/>
    <w:rsid w:val="001A2D65"/>
    <w:rsid w:val="001A3DAB"/>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E46"/>
    <w:rsid w:val="001F0F01"/>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782"/>
    <w:rsid w:val="002027BA"/>
    <w:rsid w:val="00203F96"/>
    <w:rsid w:val="0020513A"/>
    <w:rsid w:val="00205898"/>
    <w:rsid w:val="002069B2"/>
    <w:rsid w:val="00206E43"/>
    <w:rsid w:val="00207FA3"/>
    <w:rsid w:val="00211A78"/>
    <w:rsid w:val="0021241E"/>
    <w:rsid w:val="00214360"/>
    <w:rsid w:val="00214DA8"/>
    <w:rsid w:val="00215423"/>
    <w:rsid w:val="002158FA"/>
    <w:rsid w:val="00215CE2"/>
    <w:rsid w:val="002161F9"/>
    <w:rsid w:val="00216CAF"/>
    <w:rsid w:val="00216F13"/>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DDA"/>
    <w:rsid w:val="00230F0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EDD"/>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84E"/>
    <w:rsid w:val="00266AF7"/>
    <w:rsid w:val="00266E31"/>
    <w:rsid w:val="0026736D"/>
    <w:rsid w:val="00267A67"/>
    <w:rsid w:val="00267C83"/>
    <w:rsid w:val="0027144F"/>
    <w:rsid w:val="00271AF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7B0"/>
    <w:rsid w:val="0028280A"/>
    <w:rsid w:val="00284C9A"/>
    <w:rsid w:val="00285690"/>
    <w:rsid w:val="002866FE"/>
    <w:rsid w:val="00286ACD"/>
    <w:rsid w:val="00287838"/>
    <w:rsid w:val="0029003E"/>
    <w:rsid w:val="002907B5"/>
    <w:rsid w:val="00290C30"/>
    <w:rsid w:val="00291591"/>
    <w:rsid w:val="002922F7"/>
    <w:rsid w:val="002926FC"/>
    <w:rsid w:val="00292EB7"/>
    <w:rsid w:val="00293AA5"/>
    <w:rsid w:val="002948B6"/>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4F71"/>
    <w:rsid w:val="002C2387"/>
    <w:rsid w:val="002C41E6"/>
    <w:rsid w:val="002C5792"/>
    <w:rsid w:val="002C5DF4"/>
    <w:rsid w:val="002C7115"/>
    <w:rsid w:val="002C76DC"/>
    <w:rsid w:val="002D071A"/>
    <w:rsid w:val="002D08B5"/>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3EEB"/>
    <w:rsid w:val="002F55C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F0A"/>
    <w:rsid w:val="00316B41"/>
    <w:rsid w:val="0031749C"/>
    <w:rsid w:val="003203ED"/>
    <w:rsid w:val="003207A0"/>
    <w:rsid w:val="00320861"/>
    <w:rsid w:val="003218A0"/>
    <w:rsid w:val="00322C9F"/>
    <w:rsid w:val="003240F1"/>
    <w:rsid w:val="00324D23"/>
    <w:rsid w:val="00327181"/>
    <w:rsid w:val="003274F9"/>
    <w:rsid w:val="00327BD1"/>
    <w:rsid w:val="003316E8"/>
    <w:rsid w:val="00331751"/>
    <w:rsid w:val="00331BCC"/>
    <w:rsid w:val="00333880"/>
    <w:rsid w:val="00333A9C"/>
    <w:rsid w:val="00334579"/>
    <w:rsid w:val="00334693"/>
    <w:rsid w:val="00334BA7"/>
    <w:rsid w:val="00334EE1"/>
    <w:rsid w:val="00335858"/>
    <w:rsid w:val="00335E36"/>
    <w:rsid w:val="00335EA0"/>
    <w:rsid w:val="003362E7"/>
    <w:rsid w:val="00336BDA"/>
    <w:rsid w:val="00340CFC"/>
    <w:rsid w:val="00342BD7"/>
    <w:rsid w:val="00343A07"/>
    <w:rsid w:val="00344937"/>
    <w:rsid w:val="00346DB5"/>
    <w:rsid w:val="00346EA4"/>
    <w:rsid w:val="003477B1"/>
    <w:rsid w:val="00347AE9"/>
    <w:rsid w:val="003542D0"/>
    <w:rsid w:val="0035482C"/>
    <w:rsid w:val="0035555C"/>
    <w:rsid w:val="00355684"/>
    <w:rsid w:val="003562AE"/>
    <w:rsid w:val="0035636B"/>
    <w:rsid w:val="00356CF9"/>
    <w:rsid w:val="00357380"/>
    <w:rsid w:val="003602D9"/>
    <w:rsid w:val="003604CE"/>
    <w:rsid w:val="0036301E"/>
    <w:rsid w:val="00363CAE"/>
    <w:rsid w:val="0036431B"/>
    <w:rsid w:val="0036501E"/>
    <w:rsid w:val="003661BF"/>
    <w:rsid w:val="00366E2F"/>
    <w:rsid w:val="003677D3"/>
    <w:rsid w:val="00370E47"/>
    <w:rsid w:val="00371803"/>
    <w:rsid w:val="00371ADE"/>
    <w:rsid w:val="0037225D"/>
    <w:rsid w:val="00372BD2"/>
    <w:rsid w:val="003742AC"/>
    <w:rsid w:val="00375502"/>
    <w:rsid w:val="0037798C"/>
    <w:rsid w:val="00377CE1"/>
    <w:rsid w:val="00377EB6"/>
    <w:rsid w:val="00382E82"/>
    <w:rsid w:val="0038326F"/>
    <w:rsid w:val="003849D9"/>
    <w:rsid w:val="00385BF0"/>
    <w:rsid w:val="00385EC9"/>
    <w:rsid w:val="00386E77"/>
    <w:rsid w:val="00387038"/>
    <w:rsid w:val="003878F4"/>
    <w:rsid w:val="00387B1D"/>
    <w:rsid w:val="00387E6D"/>
    <w:rsid w:val="003939FF"/>
    <w:rsid w:val="003942C2"/>
    <w:rsid w:val="003956FD"/>
    <w:rsid w:val="00396034"/>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159C"/>
    <w:rsid w:val="003B2884"/>
    <w:rsid w:val="003B369F"/>
    <w:rsid w:val="003B36A3"/>
    <w:rsid w:val="003B386A"/>
    <w:rsid w:val="003B395B"/>
    <w:rsid w:val="003B495E"/>
    <w:rsid w:val="003B5344"/>
    <w:rsid w:val="003B7775"/>
    <w:rsid w:val="003B7FE5"/>
    <w:rsid w:val="003C00A9"/>
    <w:rsid w:val="003C0A5C"/>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55E4"/>
    <w:rsid w:val="003E5F70"/>
    <w:rsid w:val="003E701F"/>
    <w:rsid w:val="003E731E"/>
    <w:rsid w:val="003E7455"/>
    <w:rsid w:val="003E74E3"/>
    <w:rsid w:val="003F01ED"/>
    <w:rsid w:val="003F05C7"/>
    <w:rsid w:val="003F2CD4"/>
    <w:rsid w:val="003F32E9"/>
    <w:rsid w:val="003F3E6D"/>
    <w:rsid w:val="003F57C5"/>
    <w:rsid w:val="003F653B"/>
    <w:rsid w:val="003F6BBE"/>
    <w:rsid w:val="003F7495"/>
    <w:rsid w:val="003F7D2E"/>
    <w:rsid w:val="004000E8"/>
    <w:rsid w:val="00400B0B"/>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3E9E"/>
    <w:rsid w:val="00474020"/>
    <w:rsid w:val="00474348"/>
    <w:rsid w:val="0047556B"/>
    <w:rsid w:val="004755B9"/>
    <w:rsid w:val="00476B8B"/>
    <w:rsid w:val="00476D07"/>
    <w:rsid w:val="00477768"/>
    <w:rsid w:val="004778AE"/>
    <w:rsid w:val="00481BD6"/>
    <w:rsid w:val="004823B9"/>
    <w:rsid w:val="00483094"/>
    <w:rsid w:val="004835C4"/>
    <w:rsid w:val="00483DEC"/>
    <w:rsid w:val="004842C0"/>
    <w:rsid w:val="00486092"/>
    <w:rsid w:val="00486D6B"/>
    <w:rsid w:val="00492646"/>
    <w:rsid w:val="00492BC5"/>
    <w:rsid w:val="00492BD4"/>
    <w:rsid w:val="004949EC"/>
    <w:rsid w:val="00494A49"/>
    <w:rsid w:val="00495DB7"/>
    <w:rsid w:val="004963E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7C0C"/>
    <w:rsid w:val="004C1D6D"/>
    <w:rsid w:val="004C25F4"/>
    <w:rsid w:val="004C2788"/>
    <w:rsid w:val="004C2975"/>
    <w:rsid w:val="004C2BF7"/>
    <w:rsid w:val="004C3898"/>
    <w:rsid w:val="004C46A6"/>
    <w:rsid w:val="004C5CB3"/>
    <w:rsid w:val="004C60FE"/>
    <w:rsid w:val="004C6AFD"/>
    <w:rsid w:val="004C7797"/>
    <w:rsid w:val="004C7E35"/>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767"/>
    <w:rsid w:val="004F2D0E"/>
    <w:rsid w:val="004F3247"/>
    <w:rsid w:val="004F3CC5"/>
    <w:rsid w:val="004F4DA3"/>
    <w:rsid w:val="004F66B6"/>
    <w:rsid w:val="004F690A"/>
    <w:rsid w:val="00500010"/>
    <w:rsid w:val="00500218"/>
    <w:rsid w:val="00502C74"/>
    <w:rsid w:val="00504DB1"/>
    <w:rsid w:val="005052F7"/>
    <w:rsid w:val="00505578"/>
    <w:rsid w:val="005056A1"/>
    <w:rsid w:val="0050606A"/>
    <w:rsid w:val="00506557"/>
    <w:rsid w:val="0050677A"/>
    <w:rsid w:val="00506DA0"/>
    <w:rsid w:val="005070C2"/>
    <w:rsid w:val="00507427"/>
    <w:rsid w:val="00507FA2"/>
    <w:rsid w:val="0051065F"/>
    <w:rsid w:val="005108D8"/>
    <w:rsid w:val="005116F9"/>
    <w:rsid w:val="0051210E"/>
    <w:rsid w:val="005138D5"/>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3B14"/>
    <w:rsid w:val="00534B59"/>
    <w:rsid w:val="0053573E"/>
    <w:rsid w:val="00535D4C"/>
    <w:rsid w:val="00536759"/>
    <w:rsid w:val="00537B50"/>
    <w:rsid w:val="00537C62"/>
    <w:rsid w:val="00540B8F"/>
    <w:rsid w:val="0054158B"/>
    <w:rsid w:val="005421C1"/>
    <w:rsid w:val="00542236"/>
    <w:rsid w:val="005424FB"/>
    <w:rsid w:val="005434C3"/>
    <w:rsid w:val="0054358E"/>
    <w:rsid w:val="005438C2"/>
    <w:rsid w:val="0054409C"/>
    <w:rsid w:val="005451B9"/>
    <w:rsid w:val="00546970"/>
    <w:rsid w:val="00546B8E"/>
    <w:rsid w:val="00547D6F"/>
    <w:rsid w:val="00550343"/>
    <w:rsid w:val="00551CB6"/>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A0D90"/>
    <w:rsid w:val="005A1066"/>
    <w:rsid w:val="005A1A51"/>
    <w:rsid w:val="005A209A"/>
    <w:rsid w:val="005A4744"/>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0913"/>
    <w:rsid w:val="006016C1"/>
    <w:rsid w:val="0060170A"/>
    <w:rsid w:val="00601A9E"/>
    <w:rsid w:val="00601C33"/>
    <w:rsid w:val="00601E69"/>
    <w:rsid w:val="00602494"/>
    <w:rsid w:val="0060283C"/>
    <w:rsid w:val="00602888"/>
    <w:rsid w:val="00604871"/>
    <w:rsid w:val="00604F14"/>
    <w:rsid w:val="0060533C"/>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E38"/>
    <w:rsid w:val="00620A71"/>
    <w:rsid w:val="00620D80"/>
    <w:rsid w:val="00620FCC"/>
    <w:rsid w:val="006216F9"/>
    <w:rsid w:val="00621958"/>
    <w:rsid w:val="006234A6"/>
    <w:rsid w:val="00623873"/>
    <w:rsid w:val="00624D23"/>
    <w:rsid w:val="00630001"/>
    <w:rsid w:val="006311B3"/>
    <w:rsid w:val="0063160D"/>
    <w:rsid w:val="00631FAE"/>
    <w:rsid w:val="006321DF"/>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79D4"/>
    <w:rsid w:val="0065057F"/>
    <w:rsid w:val="00650AB9"/>
    <w:rsid w:val="006520FC"/>
    <w:rsid w:val="006525D4"/>
    <w:rsid w:val="00652E87"/>
    <w:rsid w:val="00655144"/>
    <w:rsid w:val="00655552"/>
    <w:rsid w:val="00655733"/>
    <w:rsid w:val="00655A0B"/>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8694D"/>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35BD"/>
    <w:rsid w:val="006A46FB"/>
    <w:rsid w:val="006A4A4D"/>
    <w:rsid w:val="006A5009"/>
    <w:rsid w:val="006A5613"/>
    <w:rsid w:val="006A5E28"/>
    <w:rsid w:val="006A5EBC"/>
    <w:rsid w:val="006A697B"/>
    <w:rsid w:val="006A7AFF"/>
    <w:rsid w:val="006B15E1"/>
    <w:rsid w:val="006B1816"/>
    <w:rsid w:val="006B2099"/>
    <w:rsid w:val="006B28CF"/>
    <w:rsid w:val="006B49FF"/>
    <w:rsid w:val="006B50CF"/>
    <w:rsid w:val="006B5B81"/>
    <w:rsid w:val="006B622F"/>
    <w:rsid w:val="006C03B8"/>
    <w:rsid w:val="006C08BD"/>
    <w:rsid w:val="006C16B6"/>
    <w:rsid w:val="006C28D7"/>
    <w:rsid w:val="006C3221"/>
    <w:rsid w:val="006C4803"/>
    <w:rsid w:val="006C5485"/>
    <w:rsid w:val="006C5EC9"/>
    <w:rsid w:val="006C6059"/>
    <w:rsid w:val="006C7384"/>
    <w:rsid w:val="006C7522"/>
    <w:rsid w:val="006D1004"/>
    <w:rsid w:val="006D1C68"/>
    <w:rsid w:val="006D4001"/>
    <w:rsid w:val="006D50D5"/>
    <w:rsid w:val="006D519C"/>
    <w:rsid w:val="006D58DB"/>
    <w:rsid w:val="006D62DF"/>
    <w:rsid w:val="006D6F08"/>
    <w:rsid w:val="006E0534"/>
    <w:rsid w:val="006E062C"/>
    <w:rsid w:val="006E20B1"/>
    <w:rsid w:val="006E28B7"/>
    <w:rsid w:val="006E2C93"/>
    <w:rsid w:val="006E2CC1"/>
    <w:rsid w:val="006E2DB8"/>
    <w:rsid w:val="006E3310"/>
    <w:rsid w:val="006E4E39"/>
    <w:rsid w:val="006E565E"/>
    <w:rsid w:val="006E57EE"/>
    <w:rsid w:val="006E671A"/>
    <w:rsid w:val="006E673D"/>
    <w:rsid w:val="006E7404"/>
    <w:rsid w:val="006E7AC6"/>
    <w:rsid w:val="006E7D3B"/>
    <w:rsid w:val="006F12EB"/>
    <w:rsid w:val="006F1A21"/>
    <w:rsid w:val="006F1B70"/>
    <w:rsid w:val="006F2B55"/>
    <w:rsid w:val="006F341D"/>
    <w:rsid w:val="006F349D"/>
    <w:rsid w:val="006F3BD2"/>
    <w:rsid w:val="006F3CDE"/>
    <w:rsid w:val="006F444F"/>
    <w:rsid w:val="006F4E00"/>
    <w:rsid w:val="006F55CE"/>
    <w:rsid w:val="006F58D4"/>
    <w:rsid w:val="006F5ACE"/>
    <w:rsid w:val="006F5ECE"/>
    <w:rsid w:val="006F71DB"/>
    <w:rsid w:val="007005E9"/>
    <w:rsid w:val="007008C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E5C"/>
    <w:rsid w:val="00721593"/>
    <w:rsid w:val="00722095"/>
    <w:rsid w:val="00722F29"/>
    <w:rsid w:val="0072308E"/>
    <w:rsid w:val="00723268"/>
    <w:rsid w:val="00723B6D"/>
    <w:rsid w:val="0072427F"/>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322C"/>
    <w:rsid w:val="007535EC"/>
    <w:rsid w:val="00754ACE"/>
    <w:rsid w:val="00756285"/>
    <w:rsid w:val="00756D6A"/>
    <w:rsid w:val="007571E1"/>
    <w:rsid w:val="007604B2"/>
    <w:rsid w:val="00760555"/>
    <w:rsid w:val="00761112"/>
    <w:rsid w:val="0076144E"/>
    <w:rsid w:val="007625EF"/>
    <w:rsid w:val="007628EB"/>
    <w:rsid w:val="00764F94"/>
    <w:rsid w:val="00765108"/>
    <w:rsid w:val="00765281"/>
    <w:rsid w:val="00765991"/>
    <w:rsid w:val="00765B6B"/>
    <w:rsid w:val="00766083"/>
    <w:rsid w:val="00766237"/>
    <w:rsid w:val="00766BAD"/>
    <w:rsid w:val="0077058D"/>
    <w:rsid w:val="00771585"/>
    <w:rsid w:val="007730BD"/>
    <w:rsid w:val="007755F2"/>
    <w:rsid w:val="00775996"/>
    <w:rsid w:val="0077628B"/>
    <w:rsid w:val="0077675C"/>
    <w:rsid w:val="00776971"/>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AC0"/>
    <w:rsid w:val="00790E3C"/>
    <w:rsid w:val="007925EA"/>
    <w:rsid w:val="007925FC"/>
    <w:rsid w:val="0079293F"/>
    <w:rsid w:val="00793CD8"/>
    <w:rsid w:val="00794665"/>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134"/>
    <w:rsid w:val="007C05DD"/>
    <w:rsid w:val="007C0C7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59AD"/>
    <w:rsid w:val="007D61A8"/>
    <w:rsid w:val="007D68B7"/>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7F65A1"/>
    <w:rsid w:val="0080190A"/>
    <w:rsid w:val="0080328A"/>
    <w:rsid w:val="0080336C"/>
    <w:rsid w:val="00803487"/>
    <w:rsid w:val="00803D76"/>
    <w:rsid w:val="00803FAE"/>
    <w:rsid w:val="00805510"/>
    <w:rsid w:val="0080605F"/>
    <w:rsid w:val="00807786"/>
    <w:rsid w:val="008118F3"/>
    <w:rsid w:val="00811FCB"/>
    <w:rsid w:val="0081203C"/>
    <w:rsid w:val="008121C1"/>
    <w:rsid w:val="008122DF"/>
    <w:rsid w:val="008158D6"/>
    <w:rsid w:val="0081672F"/>
    <w:rsid w:val="00816792"/>
    <w:rsid w:val="00816BDD"/>
    <w:rsid w:val="00817196"/>
    <w:rsid w:val="00817200"/>
    <w:rsid w:val="0082231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4496"/>
    <w:rsid w:val="008444E8"/>
    <w:rsid w:val="0084487B"/>
    <w:rsid w:val="00844E80"/>
    <w:rsid w:val="00845145"/>
    <w:rsid w:val="00845768"/>
    <w:rsid w:val="00846FE7"/>
    <w:rsid w:val="00847165"/>
    <w:rsid w:val="00850487"/>
    <w:rsid w:val="00850CE3"/>
    <w:rsid w:val="00850CEC"/>
    <w:rsid w:val="00850DBF"/>
    <w:rsid w:val="008525EF"/>
    <w:rsid w:val="008529AC"/>
    <w:rsid w:val="00852B28"/>
    <w:rsid w:val="00854713"/>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27E1"/>
    <w:rsid w:val="00882987"/>
    <w:rsid w:val="00885DFC"/>
    <w:rsid w:val="00886020"/>
    <w:rsid w:val="00886879"/>
    <w:rsid w:val="008873BC"/>
    <w:rsid w:val="00887EEC"/>
    <w:rsid w:val="008905B8"/>
    <w:rsid w:val="008907D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1D98"/>
    <w:rsid w:val="008B33AC"/>
    <w:rsid w:val="008B4673"/>
    <w:rsid w:val="008B51A0"/>
    <w:rsid w:val="008B592A"/>
    <w:rsid w:val="008B7B30"/>
    <w:rsid w:val="008B7B5C"/>
    <w:rsid w:val="008B7F0B"/>
    <w:rsid w:val="008C0C99"/>
    <w:rsid w:val="008C2017"/>
    <w:rsid w:val="008C2FE3"/>
    <w:rsid w:val="008C38C5"/>
    <w:rsid w:val="008C3A74"/>
    <w:rsid w:val="008C4958"/>
    <w:rsid w:val="008C4BAA"/>
    <w:rsid w:val="008C5212"/>
    <w:rsid w:val="008C5936"/>
    <w:rsid w:val="008C6AE8"/>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DF8"/>
    <w:rsid w:val="008F1EAB"/>
    <w:rsid w:val="008F21B6"/>
    <w:rsid w:val="008F33DC"/>
    <w:rsid w:val="008F377F"/>
    <w:rsid w:val="008F39DA"/>
    <w:rsid w:val="008F477F"/>
    <w:rsid w:val="008F4D89"/>
    <w:rsid w:val="008F7CC3"/>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3070"/>
    <w:rsid w:val="00923DD5"/>
    <w:rsid w:val="0092432B"/>
    <w:rsid w:val="00924E01"/>
    <w:rsid w:val="00925C6E"/>
    <w:rsid w:val="00925DB5"/>
    <w:rsid w:val="00925EF4"/>
    <w:rsid w:val="0092626F"/>
    <w:rsid w:val="0092647A"/>
    <w:rsid w:val="0092718C"/>
    <w:rsid w:val="0093025F"/>
    <w:rsid w:val="00931BD9"/>
    <w:rsid w:val="00931E40"/>
    <w:rsid w:val="009323CD"/>
    <w:rsid w:val="00932B8A"/>
    <w:rsid w:val="00932C97"/>
    <w:rsid w:val="00934609"/>
    <w:rsid w:val="00934F4C"/>
    <w:rsid w:val="009368F3"/>
    <w:rsid w:val="00937BF3"/>
    <w:rsid w:val="00937FE7"/>
    <w:rsid w:val="009404B0"/>
    <w:rsid w:val="00940B69"/>
    <w:rsid w:val="00941636"/>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57BFC"/>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405B"/>
    <w:rsid w:val="0097513C"/>
    <w:rsid w:val="00975C15"/>
    <w:rsid w:val="00975FD8"/>
    <w:rsid w:val="0097603D"/>
    <w:rsid w:val="009760F2"/>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C23"/>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C7D00"/>
    <w:rsid w:val="009D0870"/>
    <w:rsid w:val="009D1484"/>
    <w:rsid w:val="009D18BA"/>
    <w:rsid w:val="009D1E3F"/>
    <w:rsid w:val="009D1FE3"/>
    <w:rsid w:val="009D27A9"/>
    <w:rsid w:val="009D2F74"/>
    <w:rsid w:val="009D4FF0"/>
    <w:rsid w:val="009D5325"/>
    <w:rsid w:val="009D595B"/>
    <w:rsid w:val="009D703C"/>
    <w:rsid w:val="009D718F"/>
    <w:rsid w:val="009D725B"/>
    <w:rsid w:val="009D77CB"/>
    <w:rsid w:val="009E068F"/>
    <w:rsid w:val="009E14E0"/>
    <w:rsid w:val="009E251B"/>
    <w:rsid w:val="009E35DB"/>
    <w:rsid w:val="009E37AF"/>
    <w:rsid w:val="009E47A3"/>
    <w:rsid w:val="009E47E3"/>
    <w:rsid w:val="009E4E98"/>
    <w:rsid w:val="009E530E"/>
    <w:rsid w:val="009E6D1E"/>
    <w:rsid w:val="009E7003"/>
    <w:rsid w:val="009E764D"/>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7F63"/>
    <w:rsid w:val="00A201FE"/>
    <w:rsid w:val="00A20947"/>
    <w:rsid w:val="00A21588"/>
    <w:rsid w:val="00A2193B"/>
    <w:rsid w:val="00A22787"/>
    <w:rsid w:val="00A2351A"/>
    <w:rsid w:val="00A23683"/>
    <w:rsid w:val="00A240C2"/>
    <w:rsid w:val="00A24812"/>
    <w:rsid w:val="00A24FAE"/>
    <w:rsid w:val="00A2506C"/>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A75"/>
    <w:rsid w:val="00A52390"/>
    <w:rsid w:val="00A52E1D"/>
    <w:rsid w:val="00A5412C"/>
    <w:rsid w:val="00A544C3"/>
    <w:rsid w:val="00A54E96"/>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5EE"/>
    <w:rsid w:val="00A70874"/>
    <w:rsid w:val="00A70BAE"/>
    <w:rsid w:val="00A710CC"/>
    <w:rsid w:val="00A7170D"/>
    <w:rsid w:val="00A7193C"/>
    <w:rsid w:val="00A71B99"/>
    <w:rsid w:val="00A723A5"/>
    <w:rsid w:val="00A72A67"/>
    <w:rsid w:val="00A739D0"/>
    <w:rsid w:val="00A7479D"/>
    <w:rsid w:val="00A74E18"/>
    <w:rsid w:val="00A75A16"/>
    <w:rsid w:val="00A761D4"/>
    <w:rsid w:val="00A76965"/>
    <w:rsid w:val="00A77617"/>
    <w:rsid w:val="00A779BC"/>
    <w:rsid w:val="00A77EC4"/>
    <w:rsid w:val="00A80436"/>
    <w:rsid w:val="00A81627"/>
    <w:rsid w:val="00A82D41"/>
    <w:rsid w:val="00A83AA2"/>
    <w:rsid w:val="00A844C6"/>
    <w:rsid w:val="00A917C2"/>
    <w:rsid w:val="00A925C8"/>
    <w:rsid w:val="00A92879"/>
    <w:rsid w:val="00A93E53"/>
    <w:rsid w:val="00A9442A"/>
    <w:rsid w:val="00A945A4"/>
    <w:rsid w:val="00A94976"/>
    <w:rsid w:val="00A94ABA"/>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8F7"/>
    <w:rsid w:val="00AD3F94"/>
    <w:rsid w:val="00AD4A5A"/>
    <w:rsid w:val="00AD5E8C"/>
    <w:rsid w:val="00AD644F"/>
    <w:rsid w:val="00AD7C0A"/>
    <w:rsid w:val="00AE0CBF"/>
    <w:rsid w:val="00AE27AC"/>
    <w:rsid w:val="00AE40E0"/>
    <w:rsid w:val="00AE44C5"/>
    <w:rsid w:val="00AE456A"/>
    <w:rsid w:val="00AE4DBA"/>
    <w:rsid w:val="00AE4F07"/>
    <w:rsid w:val="00AE5177"/>
    <w:rsid w:val="00AE696D"/>
    <w:rsid w:val="00AE7B26"/>
    <w:rsid w:val="00AF1C5D"/>
    <w:rsid w:val="00AF1F68"/>
    <w:rsid w:val="00AF25A4"/>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973"/>
    <w:rsid w:val="00B06E0D"/>
    <w:rsid w:val="00B07915"/>
    <w:rsid w:val="00B10131"/>
    <w:rsid w:val="00B118C5"/>
    <w:rsid w:val="00B124F4"/>
    <w:rsid w:val="00B12623"/>
    <w:rsid w:val="00B1372D"/>
    <w:rsid w:val="00B138A9"/>
    <w:rsid w:val="00B138F6"/>
    <w:rsid w:val="00B13E5D"/>
    <w:rsid w:val="00B1425A"/>
    <w:rsid w:val="00B145AC"/>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3CE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0C0F"/>
    <w:rsid w:val="00B51963"/>
    <w:rsid w:val="00B530A4"/>
    <w:rsid w:val="00B530A8"/>
    <w:rsid w:val="00B57931"/>
    <w:rsid w:val="00B57C82"/>
    <w:rsid w:val="00B614EF"/>
    <w:rsid w:val="00B61D96"/>
    <w:rsid w:val="00B61DEC"/>
    <w:rsid w:val="00B62AAA"/>
    <w:rsid w:val="00B63D74"/>
    <w:rsid w:val="00B6494F"/>
    <w:rsid w:val="00B664C7"/>
    <w:rsid w:val="00B667FB"/>
    <w:rsid w:val="00B6799C"/>
    <w:rsid w:val="00B67AD6"/>
    <w:rsid w:val="00B70749"/>
    <w:rsid w:val="00B73240"/>
    <w:rsid w:val="00B739F6"/>
    <w:rsid w:val="00B748C0"/>
    <w:rsid w:val="00B74B8D"/>
    <w:rsid w:val="00B74EA1"/>
    <w:rsid w:val="00B75A4F"/>
    <w:rsid w:val="00B75C7D"/>
    <w:rsid w:val="00B76A77"/>
    <w:rsid w:val="00B77468"/>
    <w:rsid w:val="00B77E7E"/>
    <w:rsid w:val="00B809E3"/>
    <w:rsid w:val="00B80C31"/>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F3F"/>
    <w:rsid w:val="00B934D8"/>
    <w:rsid w:val="00B93B59"/>
    <w:rsid w:val="00B9406A"/>
    <w:rsid w:val="00B94DBA"/>
    <w:rsid w:val="00B9574C"/>
    <w:rsid w:val="00B95BBF"/>
    <w:rsid w:val="00B95CDE"/>
    <w:rsid w:val="00B9630E"/>
    <w:rsid w:val="00B97EF9"/>
    <w:rsid w:val="00BA10FB"/>
    <w:rsid w:val="00BA1E49"/>
    <w:rsid w:val="00BA2280"/>
    <w:rsid w:val="00BA2A08"/>
    <w:rsid w:val="00BA5067"/>
    <w:rsid w:val="00BA56D2"/>
    <w:rsid w:val="00BA6F7C"/>
    <w:rsid w:val="00BA76E0"/>
    <w:rsid w:val="00BA7C35"/>
    <w:rsid w:val="00BB1A4B"/>
    <w:rsid w:val="00BB235B"/>
    <w:rsid w:val="00BB2394"/>
    <w:rsid w:val="00BB2A25"/>
    <w:rsid w:val="00BB3798"/>
    <w:rsid w:val="00BB3FCF"/>
    <w:rsid w:val="00BB4A85"/>
    <w:rsid w:val="00BB51E9"/>
    <w:rsid w:val="00BB5BE0"/>
    <w:rsid w:val="00BB5DD6"/>
    <w:rsid w:val="00BB6A0D"/>
    <w:rsid w:val="00BB6DFC"/>
    <w:rsid w:val="00BB7A07"/>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CEA"/>
    <w:rsid w:val="00BD5F1A"/>
    <w:rsid w:val="00BD77AF"/>
    <w:rsid w:val="00BD7BB2"/>
    <w:rsid w:val="00BE1234"/>
    <w:rsid w:val="00BE161B"/>
    <w:rsid w:val="00BE2C73"/>
    <w:rsid w:val="00BE2FA6"/>
    <w:rsid w:val="00BE333F"/>
    <w:rsid w:val="00BE359D"/>
    <w:rsid w:val="00BE3E24"/>
    <w:rsid w:val="00BE45FB"/>
    <w:rsid w:val="00BE4BB0"/>
    <w:rsid w:val="00BE5F7B"/>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3517"/>
    <w:rsid w:val="00C35E30"/>
    <w:rsid w:val="00C370BF"/>
    <w:rsid w:val="00C3719D"/>
    <w:rsid w:val="00C4320B"/>
    <w:rsid w:val="00C43A14"/>
    <w:rsid w:val="00C4445B"/>
    <w:rsid w:val="00C4483A"/>
    <w:rsid w:val="00C45CA4"/>
    <w:rsid w:val="00C45E6C"/>
    <w:rsid w:val="00C510FF"/>
    <w:rsid w:val="00C516A8"/>
    <w:rsid w:val="00C5174B"/>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4075"/>
    <w:rsid w:val="00C64489"/>
    <w:rsid w:val="00C64672"/>
    <w:rsid w:val="00C6486D"/>
    <w:rsid w:val="00C655C2"/>
    <w:rsid w:val="00C65863"/>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7791E"/>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F98"/>
    <w:rsid w:val="00CA0186"/>
    <w:rsid w:val="00CA05FA"/>
    <w:rsid w:val="00CA0A1A"/>
    <w:rsid w:val="00CA17A0"/>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2CF8"/>
    <w:rsid w:val="00CC30F0"/>
    <w:rsid w:val="00CC3114"/>
    <w:rsid w:val="00CC315B"/>
    <w:rsid w:val="00CC3184"/>
    <w:rsid w:val="00CC3EA0"/>
    <w:rsid w:val="00CC40EF"/>
    <w:rsid w:val="00CC4276"/>
    <w:rsid w:val="00CC4F26"/>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451A"/>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4E65"/>
    <w:rsid w:val="00CF5076"/>
    <w:rsid w:val="00CF625B"/>
    <w:rsid w:val="00CF687E"/>
    <w:rsid w:val="00CF77C3"/>
    <w:rsid w:val="00CF7B21"/>
    <w:rsid w:val="00D00890"/>
    <w:rsid w:val="00D008A0"/>
    <w:rsid w:val="00D00CA0"/>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390"/>
    <w:rsid w:val="00D239A7"/>
    <w:rsid w:val="00D23DED"/>
    <w:rsid w:val="00D23F47"/>
    <w:rsid w:val="00D27D21"/>
    <w:rsid w:val="00D3005B"/>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50B30"/>
    <w:rsid w:val="00D51E88"/>
    <w:rsid w:val="00D5353A"/>
    <w:rsid w:val="00D53C12"/>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23C6"/>
    <w:rsid w:val="00D829DE"/>
    <w:rsid w:val="00D83E71"/>
    <w:rsid w:val="00D84136"/>
    <w:rsid w:val="00D84963"/>
    <w:rsid w:val="00D85220"/>
    <w:rsid w:val="00D86CA3"/>
    <w:rsid w:val="00D871CE"/>
    <w:rsid w:val="00D878FE"/>
    <w:rsid w:val="00D87C4E"/>
    <w:rsid w:val="00D9174B"/>
    <w:rsid w:val="00D91919"/>
    <w:rsid w:val="00D9196D"/>
    <w:rsid w:val="00D92982"/>
    <w:rsid w:val="00D93AC9"/>
    <w:rsid w:val="00D93C85"/>
    <w:rsid w:val="00D94827"/>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E7E60"/>
    <w:rsid w:val="00DF0899"/>
    <w:rsid w:val="00DF0B6E"/>
    <w:rsid w:val="00DF0D98"/>
    <w:rsid w:val="00DF15E0"/>
    <w:rsid w:val="00DF2130"/>
    <w:rsid w:val="00DF29F7"/>
    <w:rsid w:val="00DF37A0"/>
    <w:rsid w:val="00DF382B"/>
    <w:rsid w:val="00DF4100"/>
    <w:rsid w:val="00DF4A95"/>
    <w:rsid w:val="00DF5DA5"/>
    <w:rsid w:val="00E0060D"/>
    <w:rsid w:val="00E00615"/>
    <w:rsid w:val="00E01A4F"/>
    <w:rsid w:val="00E039EB"/>
    <w:rsid w:val="00E03C32"/>
    <w:rsid w:val="00E06B58"/>
    <w:rsid w:val="00E1002C"/>
    <w:rsid w:val="00E1066C"/>
    <w:rsid w:val="00E110E7"/>
    <w:rsid w:val="00E11AFF"/>
    <w:rsid w:val="00E11B20"/>
    <w:rsid w:val="00E12B6A"/>
    <w:rsid w:val="00E12C9A"/>
    <w:rsid w:val="00E13847"/>
    <w:rsid w:val="00E13B16"/>
    <w:rsid w:val="00E13B86"/>
    <w:rsid w:val="00E14751"/>
    <w:rsid w:val="00E1535E"/>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42498"/>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65"/>
    <w:rsid w:val="00E60739"/>
    <w:rsid w:val="00E60DEC"/>
    <w:rsid w:val="00E61401"/>
    <w:rsid w:val="00E61E0F"/>
    <w:rsid w:val="00E626DB"/>
    <w:rsid w:val="00E62EA7"/>
    <w:rsid w:val="00E62FCE"/>
    <w:rsid w:val="00E637F3"/>
    <w:rsid w:val="00E63838"/>
    <w:rsid w:val="00E63A17"/>
    <w:rsid w:val="00E64434"/>
    <w:rsid w:val="00E659AA"/>
    <w:rsid w:val="00E662AE"/>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1D01"/>
    <w:rsid w:val="00E8234C"/>
    <w:rsid w:val="00E82E87"/>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77B"/>
    <w:rsid w:val="00EB0950"/>
    <w:rsid w:val="00EB0C07"/>
    <w:rsid w:val="00EB1D5C"/>
    <w:rsid w:val="00EB29A1"/>
    <w:rsid w:val="00EB2AA2"/>
    <w:rsid w:val="00EB2D12"/>
    <w:rsid w:val="00EB2F0B"/>
    <w:rsid w:val="00EB3246"/>
    <w:rsid w:val="00EB35AA"/>
    <w:rsid w:val="00EB4DF6"/>
    <w:rsid w:val="00EB4EA2"/>
    <w:rsid w:val="00EB6AEE"/>
    <w:rsid w:val="00EB7BB0"/>
    <w:rsid w:val="00EC07B2"/>
    <w:rsid w:val="00EC0913"/>
    <w:rsid w:val="00EC0ADE"/>
    <w:rsid w:val="00EC0F69"/>
    <w:rsid w:val="00EC16FE"/>
    <w:rsid w:val="00EC27C6"/>
    <w:rsid w:val="00EC3C86"/>
    <w:rsid w:val="00EC4207"/>
    <w:rsid w:val="00EC4E5F"/>
    <w:rsid w:val="00EC5653"/>
    <w:rsid w:val="00EC60B5"/>
    <w:rsid w:val="00EC647E"/>
    <w:rsid w:val="00EC65CF"/>
    <w:rsid w:val="00EC68B3"/>
    <w:rsid w:val="00EC6DDC"/>
    <w:rsid w:val="00EC71CE"/>
    <w:rsid w:val="00EC7C8F"/>
    <w:rsid w:val="00ED1006"/>
    <w:rsid w:val="00ED3CDE"/>
    <w:rsid w:val="00ED540D"/>
    <w:rsid w:val="00ED6B71"/>
    <w:rsid w:val="00ED7873"/>
    <w:rsid w:val="00EE10D7"/>
    <w:rsid w:val="00EE2849"/>
    <w:rsid w:val="00EE2913"/>
    <w:rsid w:val="00EE3707"/>
    <w:rsid w:val="00EE3A58"/>
    <w:rsid w:val="00EE3C9E"/>
    <w:rsid w:val="00EE4D43"/>
    <w:rsid w:val="00EE570A"/>
    <w:rsid w:val="00EE5741"/>
    <w:rsid w:val="00EE7065"/>
    <w:rsid w:val="00EE70F9"/>
    <w:rsid w:val="00EE753C"/>
    <w:rsid w:val="00EF0FD5"/>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D41"/>
    <w:rsid w:val="00F01EAF"/>
    <w:rsid w:val="00F02814"/>
    <w:rsid w:val="00F0528D"/>
    <w:rsid w:val="00F068A1"/>
    <w:rsid w:val="00F06C67"/>
    <w:rsid w:val="00F06DFD"/>
    <w:rsid w:val="00F071D1"/>
    <w:rsid w:val="00F07533"/>
    <w:rsid w:val="00F10482"/>
    <w:rsid w:val="00F10629"/>
    <w:rsid w:val="00F11F6C"/>
    <w:rsid w:val="00F12668"/>
    <w:rsid w:val="00F12F00"/>
    <w:rsid w:val="00F1436B"/>
    <w:rsid w:val="00F145E5"/>
    <w:rsid w:val="00F150CB"/>
    <w:rsid w:val="00F15DB5"/>
    <w:rsid w:val="00F15FA5"/>
    <w:rsid w:val="00F166E8"/>
    <w:rsid w:val="00F175DC"/>
    <w:rsid w:val="00F2007E"/>
    <w:rsid w:val="00F20871"/>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C91"/>
    <w:rsid w:val="00FD1C92"/>
    <w:rsid w:val="00FD1DF7"/>
    <w:rsid w:val="00FD1EC8"/>
    <w:rsid w:val="00FD3947"/>
    <w:rsid w:val="00FD3FB3"/>
    <w:rsid w:val="00FD47ED"/>
    <w:rsid w:val="00FD4A85"/>
    <w:rsid w:val="00FD6009"/>
    <w:rsid w:val="00FD73A1"/>
    <w:rsid w:val="00FD74DB"/>
    <w:rsid w:val="00FD7660"/>
    <w:rsid w:val="00FE0601"/>
    <w:rsid w:val="00FE0655"/>
    <w:rsid w:val="00FE0762"/>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 w:val="00FF7A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C0A4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C0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655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655C2"/>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655C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655C2"/>
    <w:pPr>
      <w:numPr>
        <w:ilvl w:val="3"/>
      </w:numPr>
      <w:outlineLvl w:val="3"/>
    </w:pPr>
    <w:rPr>
      <w:sz w:val="24"/>
      <w:szCs w:val="24"/>
    </w:rPr>
  </w:style>
  <w:style w:type="paragraph" w:styleId="Heading5">
    <w:name w:val="heading 5"/>
    <w:basedOn w:val="Heading4"/>
    <w:next w:val="Normal"/>
    <w:link w:val="Heading5Char"/>
    <w:qFormat/>
    <w:rsid w:val="00C655C2"/>
    <w:pPr>
      <w:numPr>
        <w:ilvl w:val="4"/>
      </w:numPr>
      <w:outlineLvl w:val="4"/>
    </w:pPr>
    <w:rPr>
      <w:sz w:val="22"/>
      <w:szCs w:val="22"/>
    </w:rPr>
  </w:style>
  <w:style w:type="paragraph" w:styleId="Heading6">
    <w:name w:val="heading 6"/>
    <w:basedOn w:val="Normal"/>
    <w:next w:val="Normal"/>
    <w:link w:val="Heading6Char"/>
    <w:qFormat/>
    <w:rsid w:val="00C655C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655C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655C2"/>
    <w:pPr>
      <w:numPr>
        <w:ilvl w:val="7"/>
      </w:numPr>
      <w:outlineLvl w:val="7"/>
    </w:pPr>
  </w:style>
  <w:style w:type="paragraph" w:styleId="Heading9">
    <w:name w:val="heading 9"/>
    <w:basedOn w:val="Heading8"/>
    <w:next w:val="Normal"/>
    <w:link w:val="Heading9Char"/>
    <w:qFormat/>
    <w:rsid w:val="00C655C2"/>
    <w:pPr>
      <w:numPr>
        <w:ilvl w:val="8"/>
      </w:numPr>
      <w:outlineLvl w:val="8"/>
    </w:pPr>
  </w:style>
  <w:style w:type="character" w:default="1" w:styleId="DefaultParagraphFont">
    <w:name w:val="Default Paragraph Font"/>
    <w:uiPriority w:val="1"/>
    <w:semiHidden/>
    <w:unhideWhenUsed/>
    <w:rsid w:val="00B50C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C0F"/>
  </w:style>
  <w:style w:type="paragraph" w:styleId="TOC8">
    <w:name w:val="toc 8"/>
    <w:basedOn w:val="TOC1"/>
    <w:semiHidden/>
    <w:rsid w:val="00C655C2"/>
    <w:pPr>
      <w:spacing w:before="180"/>
      <w:ind w:left="2693" w:hanging="2693"/>
    </w:pPr>
    <w:rPr>
      <w:b w:val="0"/>
      <w:bCs/>
    </w:rPr>
  </w:style>
  <w:style w:type="paragraph" w:styleId="TOC1">
    <w:name w:val="toc 1"/>
    <w:aliases w:val="Observation TOC2"/>
    <w:uiPriority w:val="39"/>
    <w:rsid w:val="00C655C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655C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655C2"/>
    <w:pPr>
      <w:spacing w:after="240"/>
      <w:jc w:val="center"/>
    </w:pPr>
    <w:rPr>
      <w:b/>
      <w:bCs/>
    </w:rPr>
  </w:style>
  <w:style w:type="paragraph" w:styleId="TOC5">
    <w:name w:val="toc 5"/>
    <w:aliases w:val="Observation TOC"/>
    <w:basedOn w:val="TOC4"/>
    <w:semiHidden/>
    <w:rsid w:val="00C655C2"/>
    <w:pPr>
      <w:tabs>
        <w:tab w:val="right" w:pos="1701"/>
      </w:tabs>
      <w:ind w:left="1701" w:hanging="1701"/>
    </w:pPr>
  </w:style>
  <w:style w:type="paragraph" w:styleId="TOC4">
    <w:name w:val="toc 4"/>
    <w:basedOn w:val="TOC3"/>
    <w:semiHidden/>
    <w:rsid w:val="00C655C2"/>
    <w:pPr>
      <w:ind w:left="1418" w:hanging="1418"/>
    </w:pPr>
  </w:style>
  <w:style w:type="paragraph" w:styleId="TOC3">
    <w:name w:val="toc 3"/>
    <w:basedOn w:val="TOC2"/>
    <w:semiHidden/>
    <w:rsid w:val="00C655C2"/>
    <w:pPr>
      <w:ind w:left="1134" w:hanging="1134"/>
    </w:pPr>
  </w:style>
  <w:style w:type="paragraph" w:styleId="TOC2">
    <w:name w:val="toc 2"/>
    <w:basedOn w:val="TOC1"/>
    <w:semiHidden/>
    <w:rsid w:val="00C655C2"/>
    <w:pPr>
      <w:keepNext w:val="0"/>
      <w:spacing w:before="0"/>
      <w:ind w:left="851" w:hanging="851"/>
    </w:pPr>
    <w:rPr>
      <w:szCs w:val="20"/>
    </w:rPr>
  </w:style>
  <w:style w:type="paragraph" w:styleId="Index2">
    <w:name w:val="index 2"/>
    <w:basedOn w:val="Index1"/>
    <w:semiHidden/>
    <w:rsid w:val="00C655C2"/>
    <w:pPr>
      <w:ind w:left="284"/>
    </w:pPr>
  </w:style>
  <w:style w:type="paragraph" w:styleId="Index1">
    <w:name w:val="index 1"/>
    <w:basedOn w:val="Normal"/>
    <w:semiHidden/>
    <w:rsid w:val="00C655C2"/>
    <w:pPr>
      <w:keepLines/>
      <w:spacing w:after="0"/>
    </w:pPr>
  </w:style>
  <w:style w:type="paragraph" w:styleId="DocumentMap">
    <w:name w:val="Document Map"/>
    <w:basedOn w:val="Normal"/>
    <w:semiHidden/>
    <w:rsid w:val="00C655C2"/>
    <w:pPr>
      <w:shd w:val="clear" w:color="auto" w:fill="000080"/>
    </w:pPr>
    <w:rPr>
      <w:rFonts w:ascii="Tahoma" w:hAnsi="Tahoma" w:cs="Tahoma"/>
    </w:rPr>
  </w:style>
  <w:style w:type="paragraph" w:styleId="ListNumber2">
    <w:name w:val="List Number 2"/>
    <w:basedOn w:val="ListNumber"/>
    <w:rsid w:val="00C655C2"/>
    <w:pPr>
      <w:ind w:left="851"/>
    </w:pPr>
  </w:style>
  <w:style w:type="paragraph" w:styleId="ListNumber">
    <w:name w:val="List Number"/>
    <w:basedOn w:val="List"/>
    <w:rsid w:val="00C655C2"/>
  </w:style>
  <w:style w:type="paragraph" w:styleId="List">
    <w:name w:val="List"/>
    <w:basedOn w:val="Normal"/>
    <w:rsid w:val="00C655C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655C2"/>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655C2"/>
    <w:rPr>
      <w:b/>
      <w:bCs/>
      <w:position w:val="6"/>
      <w:sz w:val="16"/>
      <w:szCs w:val="16"/>
    </w:rPr>
  </w:style>
  <w:style w:type="paragraph" w:styleId="FootnoteText">
    <w:name w:val="footnote text"/>
    <w:basedOn w:val="Normal"/>
    <w:semiHidden/>
    <w:rsid w:val="00C655C2"/>
    <w:pPr>
      <w:keepLines/>
      <w:spacing w:after="0"/>
      <w:ind w:left="454" w:hanging="454"/>
    </w:pPr>
    <w:rPr>
      <w:sz w:val="16"/>
      <w:szCs w:val="16"/>
    </w:rPr>
  </w:style>
  <w:style w:type="paragraph" w:customStyle="1" w:styleId="3GPPHeader">
    <w:name w:val="3GPP_Header"/>
    <w:basedOn w:val="Normal"/>
    <w:rsid w:val="00C655C2"/>
    <w:pPr>
      <w:tabs>
        <w:tab w:val="left" w:pos="1701"/>
        <w:tab w:val="right" w:pos="9639"/>
      </w:tabs>
      <w:spacing w:after="240"/>
    </w:pPr>
    <w:rPr>
      <w:b/>
      <w:sz w:val="24"/>
    </w:rPr>
  </w:style>
  <w:style w:type="paragraph" w:styleId="TOC9">
    <w:name w:val="toc 9"/>
    <w:basedOn w:val="TOC8"/>
    <w:semiHidden/>
    <w:rsid w:val="00C655C2"/>
    <w:pPr>
      <w:ind w:left="1418" w:hanging="1418"/>
    </w:pPr>
  </w:style>
  <w:style w:type="paragraph" w:styleId="TOC6">
    <w:name w:val="toc 6"/>
    <w:basedOn w:val="TOC5"/>
    <w:next w:val="Normal"/>
    <w:semiHidden/>
    <w:rsid w:val="00C655C2"/>
    <w:pPr>
      <w:ind w:left="1985" w:hanging="1985"/>
    </w:pPr>
  </w:style>
  <w:style w:type="paragraph" w:styleId="TOC7">
    <w:name w:val="toc 7"/>
    <w:basedOn w:val="TOC6"/>
    <w:next w:val="Normal"/>
    <w:semiHidden/>
    <w:rsid w:val="00C655C2"/>
    <w:pPr>
      <w:ind w:left="2268" w:hanging="2268"/>
    </w:pPr>
  </w:style>
  <w:style w:type="paragraph" w:styleId="ListBullet2">
    <w:name w:val="List Bullet 2"/>
    <w:basedOn w:val="ListBullet"/>
    <w:rsid w:val="00C655C2"/>
    <w:pPr>
      <w:numPr>
        <w:numId w:val="6"/>
      </w:numPr>
    </w:pPr>
  </w:style>
  <w:style w:type="paragraph" w:styleId="ListBullet">
    <w:name w:val="List Bullet"/>
    <w:basedOn w:val="BodyText"/>
    <w:rsid w:val="00C655C2"/>
    <w:pPr>
      <w:numPr>
        <w:numId w:val="5"/>
      </w:numPr>
    </w:pPr>
  </w:style>
  <w:style w:type="paragraph" w:styleId="ListBullet3">
    <w:name w:val="List Bullet 3"/>
    <w:basedOn w:val="ListBullet2"/>
    <w:rsid w:val="00C655C2"/>
    <w:pPr>
      <w:numPr>
        <w:numId w:val="7"/>
      </w:numPr>
    </w:pPr>
  </w:style>
  <w:style w:type="paragraph" w:customStyle="1" w:styleId="EQ">
    <w:name w:val="EQ"/>
    <w:basedOn w:val="Normal"/>
    <w:next w:val="Normal"/>
    <w:rsid w:val="00C655C2"/>
    <w:pPr>
      <w:keepLines/>
      <w:tabs>
        <w:tab w:val="center" w:pos="4536"/>
        <w:tab w:val="right" w:pos="9072"/>
      </w:tabs>
      <w:spacing w:after="180"/>
    </w:pPr>
    <w:rPr>
      <w:noProof/>
    </w:rPr>
  </w:style>
  <w:style w:type="paragraph" w:styleId="List2">
    <w:name w:val="List 2"/>
    <w:basedOn w:val="List"/>
    <w:rsid w:val="00C655C2"/>
    <w:pPr>
      <w:ind w:left="851"/>
    </w:pPr>
  </w:style>
  <w:style w:type="paragraph" w:styleId="List3">
    <w:name w:val="List 3"/>
    <w:basedOn w:val="List2"/>
    <w:rsid w:val="00C655C2"/>
    <w:pPr>
      <w:ind w:left="1135"/>
    </w:pPr>
  </w:style>
  <w:style w:type="paragraph" w:styleId="List4">
    <w:name w:val="List 4"/>
    <w:basedOn w:val="List3"/>
    <w:rsid w:val="00C655C2"/>
    <w:pPr>
      <w:ind w:left="1418"/>
    </w:pPr>
  </w:style>
  <w:style w:type="paragraph" w:styleId="List5">
    <w:name w:val="List 5"/>
    <w:basedOn w:val="List4"/>
    <w:rsid w:val="00C655C2"/>
    <w:pPr>
      <w:ind w:left="1702"/>
    </w:pPr>
  </w:style>
  <w:style w:type="paragraph" w:customStyle="1" w:styleId="EditorsNote">
    <w:name w:val="Editor's Note"/>
    <w:aliases w:val="EN"/>
    <w:basedOn w:val="Normal"/>
    <w:link w:val="EditorsNoteChar"/>
    <w:rsid w:val="00C655C2"/>
    <w:pPr>
      <w:keepLines/>
      <w:spacing w:after="180"/>
      <w:ind w:left="1135" w:hanging="851"/>
    </w:pPr>
    <w:rPr>
      <w:color w:val="FF0000"/>
    </w:rPr>
  </w:style>
  <w:style w:type="paragraph" w:styleId="ListBullet4">
    <w:name w:val="List Bullet 4"/>
    <w:basedOn w:val="ListBullet3"/>
    <w:rsid w:val="00C655C2"/>
    <w:pPr>
      <w:numPr>
        <w:numId w:val="8"/>
      </w:numPr>
    </w:pPr>
  </w:style>
  <w:style w:type="paragraph" w:styleId="ListBullet5">
    <w:name w:val="List Bullet 5"/>
    <w:basedOn w:val="ListBullet4"/>
    <w:rsid w:val="00C655C2"/>
    <w:pPr>
      <w:numPr>
        <w:numId w:val="4"/>
      </w:numPr>
    </w:pPr>
  </w:style>
  <w:style w:type="paragraph" w:styleId="Footer">
    <w:name w:val="footer"/>
    <w:basedOn w:val="Header"/>
    <w:rsid w:val="00C655C2"/>
    <w:pPr>
      <w:jc w:val="center"/>
    </w:pPr>
    <w:rPr>
      <w:i/>
      <w:iCs/>
    </w:rPr>
  </w:style>
  <w:style w:type="paragraph" w:customStyle="1" w:styleId="Reference">
    <w:name w:val="Reference"/>
    <w:basedOn w:val="Normal"/>
    <w:rsid w:val="00C655C2"/>
    <w:pPr>
      <w:numPr>
        <w:numId w:val="2"/>
      </w:numPr>
    </w:pPr>
  </w:style>
  <w:style w:type="paragraph" w:styleId="BalloonText">
    <w:name w:val="Balloon Text"/>
    <w:basedOn w:val="Normal"/>
    <w:semiHidden/>
    <w:rsid w:val="00C655C2"/>
    <w:rPr>
      <w:rFonts w:ascii="Tahoma" w:hAnsi="Tahoma" w:cs="Tahoma"/>
      <w:sz w:val="16"/>
      <w:szCs w:val="16"/>
    </w:rPr>
  </w:style>
  <w:style w:type="character" w:styleId="PageNumber">
    <w:name w:val="page number"/>
    <w:rsid w:val="00C655C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655C2"/>
  </w:style>
  <w:style w:type="character" w:styleId="Hyperlink">
    <w:name w:val="Hyperlink"/>
    <w:uiPriority w:val="99"/>
    <w:rsid w:val="00C655C2"/>
    <w:rPr>
      <w:color w:val="0000FF"/>
      <w:u w:val="single"/>
      <w:lang w:val="en-GB"/>
    </w:rPr>
  </w:style>
  <w:style w:type="character" w:styleId="FollowedHyperlink">
    <w:name w:val="FollowedHyperlink"/>
    <w:semiHidden/>
    <w:rsid w:val="00C655C2"/>
    <w:rPr>
      <w:color w:val="FF0000"/>
      <w:u w:val="single"/>
    </w:rPr>
  </w:style>
  <w:style w:type="character" w:styleId="CommentReference">
    <w:name w:val="annotation reference"/>
    <w:semiHidden/>
    <w:rsid w:val="00C655C2"/>
    <w:rPr>
      <w:sz w:val="16"/>
      <w:szCs w:val="16"/>
    </w:rPr>
  </w:style>
  <w:style w:type="paragraph" w:styleId="CommentText">
    <w:name w:val="annotation text"/>
    <w:basedOn w:val="Normal"/>
    <w:link w:val="CommentTextChar"/>
    <w:rsid w:val="00C655C2"/>
  </w:style>
  <w:style w:type="paragraph" w:styleId="CommentSubject">
    <w:name w:val="annotation subject"/>
    <w:basedOn w:val="CommentText"/>
    <w:next w:val="CommentText"/>
    <w:semiHidden/>
    <w:rsid w:val="00C655C2"/>
    <w:rPr>
      <w:b/>
      <w:bCs/>
    </w:rPr>
  </w:style>
  <w:style w:type="character" w:customStyle="1" w:styleId="Heading1Char">
    <w:name w:val="Heading 1 Char"/>
    <w:link w:val="Heading1"/>
    <w:rsid w:val="00C655C2"/>
    <w:rPr>
      <w:rFonts w:ascii="Arial" w:eastAsia="Times New Roman" w:hAnsi="Arial" w:cs="Arial"/>
      <w:sz w:val="36"/>
      <w:szCs w:val="36"/>
      <w:lang w:val="en-GB" w:eastAsia="zh-CN"/>
    </w:rPr>
  </w:style>
  <w:style w:type="paragraph" w:customStyle="1" w:styleId="B1">
    <w:name w:val="B1"/>
    <w:basedOn w:val="List"/>
    <w:link w:val="B1Char"/>
    <w:rsid w:val="00C655C2"/>
    <w:pPr>
      <w:spacing w:after="180"/>
    </w:pPr>
  </w:style>
  <w:style w:type="paragraph" w:customStyle="1" w:styleId="B2">
    <w:name w:val="B2"/>
    <w:basedOn w:val="List2"/>
    <w:link w:val="B2Char"/>
    <w:rsid w:val="00C655C2"/>
    <w:pPr>
      <w:spacing w:after="180"/>
    </w:pPr>
  </w:style>
  <w:style w:type="paragraph" w:customStyle="1" w:styleId="B3">
    <w:name w:val="B3"/>
    <w:basedOn w:val="List3"/>
    <w:link w:val="B3Char"/>
    <w:rsid w:val="00C655C2"/>
    <w:pPr>
      <w:spacing w:after="180"/>
    </w:pPr>
  </w:style>
  <w:style w:type="paragraph" w:customStyle="1" w:styleId="B4">
    <w:name w:val="B4"/>
    <w:basedOn w:val="List4"/>
    <w:link w:val="B4Char"/>
    <w:rsid w:val="00C655C2"/>
    <w:pPr>
      <w:spacing w:after="180"/>
    </w:pPr>
  </w:style>
  <w:style w:type="paragraph" w:customStyle="1" w:styleId="Proposal">
    <w:name w:val="Proposal"/>
    <w:basedOn w:val="Normal"/>
    <w:rsid w:val="00C655C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655C2"/>
    <w:rPr>
      <w:rFonts w:ascii="Arial" w:eastAsia="Times New Roman" w:hAnsi="Arial"/>
      <w:lang w:val="en-GB" w:eastAsia="zh-CN"/>
    </w:rPr>
  </w:style>
  <w:style w:type="paragraph" w:customStyle="1" w:styleId="B5">
    <w:name w:val="B5"/>
    <w:basedOn w:val="List5"/>
    <w:link w:val="B5Char"/>
    <w:rsid w:val="00C655C2"/>
    <w:pPr>
      <w:spacing w:after="180"/>
    </w:pPr>
  </w:style>
  <w:style w:type="paragraph" w:customStyle="1" w:styleId="EX">
    <w:name w:val="EX"/>
    <w:basedOn w:val="Normal"/>
    <w:rsid w:val="00C655C2"/>
    <w:pPr>
      <w:keepLines/>
      <w:spacing w:after="180"/>
      <w:ind w:left="1702" w:hanging="1418"/>
    </w:pPr>
  </w:style>
  <w:style w:type="paragraph" w:customStyle="1" w:styleId="EW">
    <w:name w:val="EW"/>
    <w:basedOn w:val="EX"/>
    <w:rsid w:val="00C655C2"/>
    <w:pPr>
      <w:spacing w:after="0"/>
    </w:pPr>
  </w:style>
  <w:style w:type="paragraph" w:customStyle="1" w:styleId="TAL">
    <w:name w:val="TAL"/>
    <w:basedOn w:val="Normal"/>
    <w:link w:val="TALChar"/>
    <w:rsid w:val="00C655C2"/>
    <w:pPr>
      <w:keepNext/>
      <w:keepLines/>
      <w:spacing w:after="0"/>
    </w:pPr>
    <w:rPr>
      <w:sz w:val="18"/>
    </w:rPr>
  </w:style>
  <w:style w:type="paragraph" w:customStyle="1" w:styleId="TAC">
    <w:name w:val="TAC"/>
    <w:basedOn w:val="TAL"/>
    <w:rsid w:val="00C655C2"/>
    <w:pPr>
      <w:jc w:val="center"/>
    </w:pPr>
  </w:style>
  <w:style w:type="paragraph" w:customStyle="1" w:styleId="TAH">
    <w:name w:val="TAH"/>
    <w:basedOn w:val="TAC"/>
    <w:link w:val="TAHCar"/>
    <w:rsid w:val="00C655C2"/>
    <w:rPr>
      <w:b/>
    </w:rPr>
  </w:style>
  <w:style w:type="paragraph" w:customStyle="1" w:styleId="TAN">
    <w:name w:val="TAN"/>
    <w:basedOn w:val="TAL"/>
    <w:link w:val="TANChar"/>
    <w:rsid w:val="00C655C2"/>
    <w:pPr>
      <w:ind w:left="851" w:hanging="851"/>
    </w:pPr>
  </w:style>
  <w:style w:type="paragraph" w:customStyle="1" w:styleId="TAR">
    <w:name w:val="TAR"/>
    <w:basedOn w:val="TAL"/>
    <w:rsid w:val="00C655C2"/>
    <w:pPr>
      <w:jc w:val="right"/>
    </w:pPr>
  </w:style>
  <w:style w:type="paragraph" w:customStyle="1" w:styleId="TH">
    <w:name w:val="TH"/>
    <w:basedOn w:val="Normal"/>
    <w:link w:val="THChar"/>
    <w:rsid w:val="00C655C2"/>
    <w:pPr>
      <w:keepNext/>
      <w:keepLines/>
      <w:spacing w:before="60" w:after="180"/>
      <w:jc w:val="center"/>
    </w:pPr>
    <w:rPr>
      <w:b/>
    </w:rPr>
  </w:style>
  <w:style w:type="paragraph" w:customStyle="1" w:styleId="TF">
    <w:name w:val="TF"/>
    <w:aliases w:val="left"/>
    <w:basedOn w:val="TH"/>
    <w:link w:val="TFChar"/>
    <w:rsid w:val="00C655C2"/>
    <w:pPr>
      <w:keepNext w:val="0"/>
      <w:spacing w:before="0" w:after="240"/>
    </w:pPr>
  </w:style>
  <w:style w:type="paragraph" w:customStyle="1" w:styleId="TT">
    <w:name w:val="TT"/>
    <w:basedOn w:val="Heading1"/>
    <w:next w:val="Normal"/>
    <w:rsid w:val="00C655C2"/>
    <w:pPr>
      <w:numPr>
        <w:numId w:val="0"/>
      </w:numPr>
      <w:ind w:left="1134" w:hanging="1134"/>
      <w:outlineLvl w:val="9"/>
    </w:pPr>
    <w:rPr>
      <w:rFonts w:cs="Times New Roman"/>
      <w:szCs w:val="20"/>
      <w:lang w:eastAsia="en-US"/>
    </w:rPr>
  </w:style>
  <w:style w:type="paragraph" w:customStyle="1" w:styleId="ZA">
    <w:name w:val="ZA"/>
    <w:rsid w:val="00C655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655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655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655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655C2"/>
  </w:style>
  <w:style w:type="paragraph" w:customStyle="1" w:styleId="ZH">
    <w:name w:val="ZH"/>
    <w:rsid w:val="00C655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655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655C2"/>
    <w:pPr>
      <w:framePr w:hRule="auto" w:wrap="notBeside" w:y="852"/>
    </w:pPr>
    <w:rPr>
      <w:i w:val="0"/>
      <w:sz w:val="40"/>
    </w:rPr>
  </w:style>
  <w:style w:type="paragraph" w:customStyle="1" w:styleId="ZU">
    <w:name w:val="ZU"/>
    <w:rsid w:val="00C655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655C2"/>
    <w:pPr>
      <w:framePr w:wrap="notBeside" w:y="16161"/>
    </w:pPr>
  </w:style>
  <w:style w:type="paragraph" w:customStyle="1" w:styleId="FP">
    <w:name w:val="FP"/>
    <w:basedOn w:val="Normal"/>
    <w:rsid w:val="00C655C2"/>
    <w:pPr>
      <w:spacing w:after="0"/>
    </w:pPr>
  </w:style>
  <w:style w:type="paragraph" w:customStyle="1" w:styleId="Observation">
    <w:name w:val="Observation"/>
    <w:basedOn w:val="Proposal"/>
    <w:qFormat/>
    <w:rsid w:val="00C655C2"/>
    <w:pPr>
      <w:numPr>
        <w:numId w:val="9"/>
      </w:numPr>
      <w:ind w:left="1701" w:hanging="1701"/>
    </w:pPr>
  </w:style>
  <w:style w:type="paragraph" w:styleId="TableofFigures">
    <w:name w:val="table of figures"/>
    <w:basedOn w:val="Normal"/>
    <w:next w:val="Normal"/>
    <w:uiPriority w:val="99"/>
    <w:rsid w:val="00C655C2"/>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7B50"/>
    <w:rPr>
      <w:rFonts w:ascii="Arial" w:eastAsia="Times New Roman" w:hAnsi="Arial" w:cs="Arial"/>
      <w:b/>
      <w:bCs/>
      <w:noProof/>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25D45-8D6D-4B78-A95A-86BD215F8B34}">
  <ds:schemaRefs>
    <ds:schemaRef ds:uri="http://schemas.microsoft.com/office/2006/metadata/longProperties"/>
  </ds:schemaRefs>
</ds:datastoreItem>
</file>

<file path=customXml/itemProps2.xml><?xml version="1.0" encoding="utf-8"?>
<ds:datastoreItem xmlns:ds="http://schemas.openxmlformats.org/officeDocument/2006/customXml" ds:itemID="{A7E43814-A40F-4264-9B7E-91134090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7907</Characters>
  <Application>Microsoft Office Word</Application>
  <DocSecurity>0</DocSecurity>
  <Lines>65</Lines>
  <Paragraphs>18</Paragraphs>
  <ScaleCrop>false</ScaleCrop>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2019-02-14T22:14:00Z</dcterms:created>
  <dcterms:modified xsi:type="dcterms:W3CDTF">2019-02-14T22:44:00Z</dcterms:modified>
</cp:coreProperties>
</file>